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EBF1D" w14:textId="77777777" w:rsidR="003D00C6" w:rsidRPr="00E61C32" w:rsidRDefault="003D00C6">
      <w:pPr>
        <w:rPr>
          <w:lang w:val="fr-FR"/>
        </w:rPr>
      </w:pPr>
    </w:p>
    <w:p w14:paraId="4E467C33" w14:textId="77777777" w:rsidR="00DA141B" w:rsidRPr="00E61C32" w:rsidRDefault="00AE708B" w:rsidP="00AE708B">
      <w:pPr>
        <w:tabs>
          <w:tab w:val="left" w:pos="7965"/>
        </w:tabs>
        <w:rPr>
          <w:lang w:val="fr-FR"/>
        </w:rPr>
      </w:pPr>
      <w:r w:rsidRPr="00E61C32">
        <w:rPr>
          <w:lang w:val="fr-FR"/>
        </w:rPr>
        <w:tab/>
      </w:r>
    </w:p>
    <w:p w14:paraId="01178101" w14:textId="77777777" w:rsidR="00DA141B" w:rsidRPr="00E61C32" w:rsidRDefault="00DA141B">
      <w:pPr>
        <w:rPr>
          <w:lang w:val="fr-FR"/>
        </w:rPr>
      </w:pPr>
    </w:p>
    <w:p w14:paraId="7DBCB9FC" w14:textId="52F1E0C6" w:rsidR="00B86B7F" w:rsidRPr="00C96A81" w:rsidRDefault="00F574E9" w:rsidP="00815256">
      <w:pPr>
        <w:pStyle w:val="SchlagzeilePressemitteilung"/>
        <w:framePr w:w="8179" w:wrap="around" w:y="2365"/>
        <w:spacing w:line="240" w:lineRule="auto"/>
        <w:ind w:left="142"/>
        <w:rPr>
          <w:b w:val="0"/>
          <w:color w:val="7A716F"/>
          <w:sz w:val="40"/>
        </w:rPr>
      </w:pPr>
      <w:r w:rsidRPr="00C96A81">
        <w:rPr>
          <w:rFonts w:cs="Arial"/>
          <w:color w:val="7A716F"/>
          <w:sz w:val="40"/>
          <w:szCs w:val="40"/>
          <w:lang w:bidi="de-DE"/>
        </w:rPr>
        <w:t xml:space="preserve">CHG-MERIDIAN </w:t>
      </w:r>
      <w:r w:rsidR="00742180">
        <w:rPr>
          <w:rFonts w:cs="Arial"/>
          <w:color w:val="7A716F"/>
          <w:sz w:val="40"/>
          <w:szCs w:val="40"/>
          <w:lang w:bidi="de-DE"/>
        </w:rPr>
        <w:t>steigert 2016 sein Neugeschäft um neun Prozent</w:t>
      </w:r>
    </w:p>
    <w:p w14:paraId="5CB9E60E" w14:textId="77777777" w:rsidR="00742180" w:rsidRPr="00742180" w:rsidRDefault="00742180" w:rsidP="00742180">
      <w:pPr>
        <w:pStyle w:val="AufzhlungspunkteCHG-MERIDIAN"/>
        <w:rPr>
          <w:rFonts w:cs="Arial"/>
          <w:b/>
          <w:color w:val="7A716F"/>
          <w:sz w:val="24"/>
          <w:szCs w:val="24"/>
          <w:lang w:bidi="de-DE"/>
        </w:rPr>
      </w:pPr>
      <w:r w:rsidRPr="00742180">
        <w:rPr>
          <w:rFonts w:cs="Arial"/>
          <w:b/>
          <w:color w:val="7A716F"/>
          <w:sz w:val="24"/>
          <w:szCs w:val="24"/>
          <w:lang w:bidi="de-DE"/>
        </w:rPr>
        <w:t xml:space="preserve">Gewachsen: Anhaltendes dynamisches Wachstum aus eigener Kraft unterstreicht strategische Ausrichtung </w:t>
      </w:r>
    </w:p>
    <w:p w14:paraId="2C883C96" w14:textId="77777777" w:rsidR="00742180" w:rsidRDefault="00742180" w:rsidP="00E04E02">
      <w:pPr>
        <w:pStyle w:val="AufzhlungspunkteCHG-MERIDIAN"/>
        <w:rPr>
          <w:rFonts w:cs="Arial"/>
          <w:b/>
          <w:color w:val="7A716F"/>
          <w:sz w:val="24"/>
          <w:szCs w:val="24"/>
          <w:lang w:bidi="de-DE"/>
        </w:rPr>
      </w:pPr>
      <w:r w:rsidRPr="00742180">
        <w:rPr>
          <w:rFonts w:cs="Arial"/>
          <w:b/>
          <w:color w:val="7A716F"/>
          <w:sz w:val="24"/>
          <w:szCs w:val="24"/>
          <w:lang w:bidi="de-DE"/>
        </w:rPr>
        <w:t xml:space="preserve">Übertroffen: Gute Fortschritte bei Umsetzung der Servicestrategie, Höchstwert bei zertifizierter Datenlöschung  </w:t>
      </w:r>
    </w:p>
    <w:p w14:paraId="5EC728E9" w14:textId="4AD01A28" w:rsidR="00742180" w:rsidRPr="00742180" w:rsidRDefault="00742180" w:rsidP="00E04E02">
      <w:pPr>
        <w:pStyle w:val="AufzhlungspunkteCHG-MERIDIAN"/>
        <w:rPr>
          <w:rFonts w:cs="Arial"/>
          <w:b/>
          <w:color w:val="7A716F"/>
          <w:sz w:val="24"/>
          <w:szCs w:val="24"/>
          <w:lang w:bidi="de-DE"/>
        </w:rPr>
      </w:pPr>
      <w:r w:rsidRPr="00742180">
        <w:rPr>
          <w:rFonts w:cs="Arial"/>
          <w:b/>
          <w:color w:val="7A716F"/>
          <w:sz w:val="24"/>
          <w:szCs w:val="24"/>
          <w:lang w:bidi="de-DE"/>
        </w:rPr>
        <w:t>Ausgebaut: Zwei neue Standorte in Deutschland sollen weitere Wachstumspotentiale in Kundennähe schaffen</w:t>
      </w:r>
    </w:p>
    <w:p w14:paraId="10151DE3" w14:textId="77777777" w:rsidR="00B86B7F" w:rsidRPr="00E576A3" w:rsidRDefault="00B86B7F" w:rsidP="00B86B7F">
      <w:pPr>
        <w:pStyle w:val="Listenabsatz"/>
        <w:rPr>
          <w:szCs w:val="19"/>
          <w:lang w:val="de-DE"/>
        </w:rPr>
      </w:pPr>
    </w:p>
    <w:p w14:paraId="15285759" w14:textId="77777777" w:rsidR="00B86B7F" w:rsidRPr="00E576A3" w:rsidRDefault="00B86B7F" w:rsidP="00B86B7F">
      <w:pPr>
        <w:pStyle w:val="AufzhlungspunkteCHG-MERIDIAN"/>
        <w:numPr>
          <w:ilvl w:val="0"/>
          <w:numId w:val="0"/>
        </w:numPr>
        <w:rPr>
          <w:szCs w:val="19"/>
        </w:rPr>
      </w:pPr>
    </w:p>
    <w:p w14:paraId="1F6E2468" w14:textId="77777777" w:rsidR="000728EF" w:rsidRPr="00E576A3" w:rsidRDefault="000728EF" w:rsidP="00B86B7F">
      <w:pPr>
        <w:pStyle w:val="AufzhlungspunkteCHG-MERIDIAN"/>
        <w:numPr>
          <w:ilvl w:val="0"/>
          <w:numId w:val="0"/>
        </w:numPr>
        <w:rPr>
          <w:szCs w:val="19"/>
        </w:rPr>
      </w:pPr>
    </w:p>
    <w:p w14:paraId="6756A43E" w14:textId="77777777" w:rsidR="00DF7C28" w:rsidRDefault="00364AF8" w:rsidP="00DF7C28">
      <w:pPr>
        <w:pStyle w:val="AufzhlungspunkteCHG-MERIDIAN"/>
        <w:numPr>
          <w:ilvl w:val="0"/>
          <w:numId w:val="0"/>
        </w:numPr>
        <w:rPr>
          <w:szCs w:val="19"/>
          <w:u w:val="single"/>
        </w:rPr>
      </w:pPr>
      <w:r w:rsidRPr="00E576A3">
        <w:rPr>
          <w:szCs w:val="19"/>
          <w:u w:val="single"/>
        </w:rPr>
        <w:t xml:space="preserve">Weingarten, </w:t>
      </w:r>
      <w:r w:rsidR="00E576A3">
        <w:rPr>
          <w:szCs w:val="19"/>
          <w:u w:val="single"/>
        </w:rPr>
        <w:t>1</w:t>
      </w:r>
      <w:r w:rsidR="00DF7C28">
        <w:rPr>
          <w:szCs w:val="19"/>
          <w:u w:val="single"/>
        </w:rPr>
        <w:t>0</w:t>
      </w:r>
      <w:r w:rsidR="00B86B7F" w:rsidRPr="00E576A3">
        <w:rPr>
          <w:szCs w:val="19"/>
          <w:u w:val="single"/>
        </w:rPr>
        <w:t xml:space="preserve">. </w:t>
      </w:r>
      <w:r w:rsidR="003B4F68">
        <w:rPr>
          <w:szCs w:val="19"/>
          <w:u w:val="single"/>
        </w:rPr>
        <w:t>Februar</w:t>
      </w:r>
      <w:r w:rsidRPr="00E576A3">
        <w:rPr>
          <w:szCs w:val="19"/>
          <w:u w:val="single"/>
        </w:rPr>
        <w:t xml:space="preserve"> 201</w:t>
      </w:r>
      <w:r w:rsidR="00DF7C28">
        <w:rPr>
          <w:szCs w:val="19"/>
          <w:u w:val="single"/>
        </w:rPr>
        <w:t>7</w:t>
      </w:r>
    </w:p>
    <w:p w14:paraId="4E6071B8" w14:textId="42997467" w:rsidR="00742180" w:rsidRDefault="00742180" w:rsidP="00E576A3">
      <w:pPr>
        <w:pStyle w:val="StandardWeb"/>
        <w:spacing w:after="0" w:afterAutospacing="0" w:line="249" w:lineRule="atLeast"/>
        <w:rPr>
          <w:rFonts w:ascii="Arial" w:eastAsia="Calibri" w:hAnsi="Arial" w:cs="Arial"/>
          <w:sz w:val="19"/>
          <w:szCs w:val="19"/>
          <w:lang w:val="de-DE"/>
        </w:rPr>
      </w:pPr>
      <w:r w:rsidRPr="00742180">
        <w:rPr>
          <w:rFonts w:ascii="Arial" w:eastAsia="Calibri" w:hAnsi="Arial" w:cs="Arial"/>
          <w:sz w:val="19"/>
          <w:szCs w:val="19"/>
          <w:lang w:val="de-DE"/>
        </w:rPr>
        <w:t xml:space="preserve">Dank eines dynamischen Wachstums kann CHG-MERIDIAN, ein im baden-württembergischen Weingarten ansässiger banken- und herstellerunabhängiger Spezialist für Technologiemanagement und -finanzierung, auf ein weiteres positives Geschäftsjahr zurückblicken. Insgesamt erhöhte sich das Neuinvestitionsvolumen um neun Prozent auf 1,155 Milliarden Euro (2015: 1,057 Mrd. </w:t>
      </w:r>
      <w:r w:rsidRPr="00270CE1">
        <w:rPr>
          <w:rFonts w:ascii="Arial" w:eastAsia="Calibri" w:hAnsi="Arial" w:cs="Arial"/>
          <w:sz w:val="19"/>
          <w:szCs w:val="19"/>
          <w:lang w:val="pt-BR"/>
        </w:rPr>
        <w:t xml:space="preserve">Euro). „Wir konnten erneut unser dynamisches Wachstum aus eigener Kraft erfolgreich fortsetzen. </w:t>
      </w:r>
      <w:r w:rsidRPr="00270CE1">
        <w:rPr>
          <w:rFonts w:ascii="Arial" w:eastAsia="Calibri" w:hAnsi="Arial" w:cs="Arial"/>
          <w:sz w:val="19"/>
          <w:szCs w:val="19"/>
          <w:lang w:val="de-DE"/>
        </w:rPr>
        <w:t xml:space="preserve">Das ist für mich ein klarer Indikator, </w:t>
      </w:r>
      <w:r w:rsidRPr="00742180">
        <w:rPr>
          <w:rFonts w:ascii="Arial" w:eastAsia="Calibri" w:hAnsi="Arial" w:cs="Arial"/>
          <w:sz w:val="19"/>
          <w:szCs w:val="19"/>
          <w:lang w:val="de-DE"/>
        </w:rPr>
        <w:t xml:space="preserve">dass wir auf einem sehr guten Weg sind und die richtigen strategischen Entscheidungen für die Zukunft getroffen haben“, sagte Dr. Mathias Wagner, Vorstandsvorsitzender </w:t>
      </w:r>
      <w:r w:rsidR="00270CE1">
        <w:rPr>
          <w:rFonts w:ascii="Arial" w:eastAsia="Calibri" w:hAnsi="Arial" w:cs="Arial"/>
          <w:sz w:val="19"/>
          <w:szCs w:val="19"/>
          <w:lang w:val="de-DE"/>
        </w:rPr>
        <w:t>von</w:t>
      </w:r>
      <w:r w:rsidRPr="00742180">
        <w:rPr>
          <w:rFonts w:ascii="Arial" w:eastAsia="Calibri" w:hAnsi="Arial" w:cs="Arial"/>
          <w:sz w:val="19"/>
          <w:szCs w:val="19"/>
          <w:lang w:val="de-DE"/>
        </w:rPr>
        <w:t xml:space="preserve"> CHG-MERIDIAN im Rahmen der Jahrespressekonferenz.   </w:t>
      </w:r>
    </w:p>
    <w:p w14:paraId="2E6E4954" w14:textId="77777777" w:rsidR="00742180" w:rsidRDefault="00742180" w:rsidP="00742180">
      <w:pPr>
        <w:rPr>
          <w:rFonts w:cs="Arial"/>
          <w:szCs w:val="19"/>
          <w:lang w:val="de-DE"/>
        </w:rPr>
      </w:pPr>
    </w:p>
    <w:p w14:paraId="0966BAEF" w14:textId="577B40B5" w:rsidR="00742180" w:rsidRPr="00742180" w:rsidRDefault="00742180" w:rsidP="00742180">
      <w:pPr>
        <w:rPr>
          <w:rFonts w:cs="Arial"/>
          <w:szCs w:val="19"/>
          <w:lang w:val="de-DE"/>
        </w:rPr>
      </w:pPr>
      <w:r w:rsidRPr="00742180">
        <w:rPr>
          <w:rFonts w:cs="Arial"/>
          <w:szCs w:val="19"/>
          <w:lang w:val="de-DE"/>
        </w:rPr>
        <w:t xml:space="preserve">Besonders erfreulich entwickelte sich die Region Südeuropa (Italien, Spanien, Frankreich), in der das Neuinvestitionsvolumen um rund 26 Prozent auf 161 Millionen Euro (2015: 127 Millionen Euro) zulegen konnte. Auch die Region Amerika (USA, Kanada, Mexiko, Brasilien) konnte mit einem Zuwachs von rund 17 Prozent auf 167 Millionen Euro (2015: 142 Millionen Euro) überproportional zum Gesamtergebnis der Gruppe beitragen. Auf dem Heimatmarkt Deutschland verzeichnete CHG-MERIDIAN ebenfalls ein starkes Wachstum um rund zehn Prozent und steigerte damit das Neuinvestitionsvolumen auf 548 Millionen Euro (2015: 500 Millionen Euro). </w:t>
      </w:r>
    </w:p>
    <w:p w14:paraId="451E280F" w14:textId="77777777" w:rsidR="00742180" w:rsidRPr="00742180" w:rsidRDefault="00742180" w:rsidP="00742180">
      <w:pPr>
        <w:rPr>
          <w:rFonts w:cs="Arial"/>
          <w:szCs w:val="19"/>
          <w:lang w:val="de-DE"/>
        </w:rPr>
      </w:pPr>
    </w:p>
    <w:p w14:paraId="30F39AFF" w14:textId="4F61A623" w:rsidR="00742180" w:rsidRPr="00742180" w:rsidRDefault="00742180" w:rsidP="00742180">
      <w:pPr>
        <w:rPr>
          <w:rFonts w:cs="Arial"/>
          <w:szCs w:val="19"/>
          <w:lang w:val="de-DE"/>
        </w:rPr>
      </w:pPr>
      <w:r w:rsidRPr="00742180">
        <w:rPr>
          <w:rFonts w:cs="Arial"/>
          <w:szCs w:val="19"/>
          <w:lang w:val="de-DE"/>
        </w:rPr>
        <w:t>Beim Fremdfinanzierungsvolumen hat CHG-MERIDIAN erneut mit mehr als einer Milliarde Euro</w:t>
      </w:r>
      <w:r w:rsidR="00B749EC">
        <w:rPr>
          <w:rFonts w:cs="Arial"/>
          <w:szCs w:val="19"/>
          <w:lang w:val="de-DE"/>
        </w:rPr>
        <w:t xml:space="preserve"> </w:t>
      </w:r>
      <w:r w:rsidRPr="00742180">
        <w:rPr>
          <w:rFonts w:cs="Arial"/>
          <w:szCs w:val="19"/>
          <w:lang w:val="de-DE"/>
        </w:rPr>
        <w:t xml:space="preserve">auf ein internationales Netzwerk gebaut: Mit mehr als 140 Finanzierungspartnern und Investoren aus aller Welt hat das Unternehmen 1,02 Milliarden Euro (2015: 960 Millionen Euro) an Technologieinvestitionen fremdfinanziert. </w:t>
      </w:r>
    </w:p>
    <w:p w14:paraId="0C8DF06C" w14:textId="77777777" w:rsidR="00742180" w:rsidRPr="00742180" w:rsidRDefault="00742180" w:rsidP="00742180">
      <w:pPr>
        <w:rPr>
          <w:rFonts w:cs="Arial"/>
          <w:szCs w:val="19"/>
          <w:lang w:val="de-DE"/>
        </w:rPr>
      </w:pPr>
    </w:p>
    <w:p w14:paraId="3C4D1329" w14:textId="77777777" w:rsidR="00742180" w:rsidRPr="00742180" w:rsidRDefault="00742180" w:rsidP="00742180">
      <w:pPr>
        <w:rPr>
          <w:rFonts w:cs="Arial"/>
          <w:szCs w:val="19"/>
          <w:lang w:val="de-DE"/>
        </w:rPr>
      </w:pPr>
      <w:r w:rsidRPr="00742180">
        <w:rPr>
          <w:rFonts w:cs="Arial"/>
          <w:szCs w:val="19"/>
          <w:lang w:val="de-DE"/>
        </w:rPr>
        <w:t xml:space="preserve">Auch der Deckungsbeitrag lag im Jahr 2016 mit einem Plus von rund vier Prozent über dem Vorjahresniveau. Insgesamt belief sich der Deckungsbeitrag auf 190 Millionen Euro (2015: 183 Millionen Euro). CHG-MERIDIAN erwirtschaftete hiervon in Deutschland 58 Prozent. </w:t>
      </w:r>
    </w:p>
    <w:p w14:paraId="73E4E103" w14:textId="77777777" w:rsidR="00742180" w:rsidRPr="00742180" w:rsidRDefault="00742180" w:rsidP="00742180">
      <w:pPr>
        <w:rPr>
          <w:rFonts w:cs="Arial"/>
          <w:szCs w:val="19"/>
          <w:lang w:val="de-DE"/>
        </w:rPr>
      </w:pPr>
    </w:p>
    <w:p w14:paraId="2E99171E" w14:textId="77777777" w:rsidR="00742180" w:rsidRPr="00742180" w:rsidRDefault="00742180" w:rsidP="00742180">
      <w:pPr>
        <w:rPr>
          <w:rFonts w:cs="Arial"/>
          <w:b/>
          <w:szCs w:val="19"/>
          <w:lang w:val="de-DE"/>
        </w:rPr>
      </w:pPr>
      <w:r w:rsidRPr="00742180">
        <w:rPr>
          <w:rFonts w:cs="Arial"/>
          <w:b/>
          <w:szCs w:val="19"/>
          <w:lang w:val="de-DE"/>
        </w:rPr>
        <w:t>Fortschritte bei Umsetzung der Servicestrategie</w:t>
      </w:r>
    </w:p>
    <w:p w14:paraId="4218AA72" w14:textId="77777777" w:rsidR="00742180" w:rsidRPr="00742180" w:rsidRDefault="00742180" w:rsidP="00742180">
      <w:pPr>
        <w:rPr>
          <w:rFonts w:cs="Arial"/>
          <w:szCs w:val="19"/>
          <w:lang w:val="de-DE"/>
        </w:rPr>
      </w:pPr>
    </w:p>
    <w:p w14:paraId="474FBB5E" w14:textId="6D80D699" w:rsidR="00742180" w:rsidRPr="00742180" w:rsidRDefault="00742180" w:rsidP="00742180">
      <w:pPr>
        <w:rPr>
          <w:rFonts w:cs="Arial"/>
          <w:szCs w:val="19"/>
          <w:lang w:val="de-DE"/>
        </w:rPr>
      </w:pPr>
      <w:r w:rsidRPr="00742180">
        <w:rPr>
          <w:rFonts w:cs="Arial"/>
          <w:szCs w:val="19"/>
          <w:lang w:val="de-DE"/>
        </w:rPr>
        <w:t xml:space="preserve">Services, die das klassische Finanzierungsgeschäft von IT-Investitionen von CHG-MERIDIAN sinnvoll ergänzen, haben auch 2016 an Bedeutung gewonnen: „Positiv zur Geschäftsentwicklung hat die erfolgreiche Umsetzung der vor wenigen Jahren initiierten Servicestrategie beigetragen“, sagte Dr. Wagner. Dadurch konnten Neukunden </w:t>
      </w:r>
      <w:r w:rsidRPr="00742180">
        <w:rPr>
          <w:rFonts w:cs="Arial"/>
          <w:szCs w:val="19"/>
          <w:lang w:val="de-DE"/>
        </w:rPr>
        <w:lastRenderedPageBreak/>
        <w:t>gewonnen</w:t>
      </w:r>
      <w:r w:rsidR="00B749EC">
        <w:rPr>
          <w:rFonts w:cs="Arial"/>
          <w:szCs w:val="19"/>
          <w:lang w:val="de-DE"/>
        </w:rPr>
        <w:t xml:space="preserve"> </w:t>
      </w:r>
      <w:r w:rsidRPr="00742180">
        <w:rPr>
          <w:rFonts w:cs="Arial"/>
          <w:szCs w:val="19"/>
          <w:lang w:val="de-DE"/>
        </w:rPr>
        <w:t>und Bestandskunden von neuen Services überzeugt werden, was einen wesentlichen Beitrag zum Neugeschäft ermöglicht hat.</w:t>
      </w:r>
    </w:p>
    <w:p w14:paraId="58D3EAD3" w14:textId="77777777" w:rsidR="00742180" w:rsidRPr="00742180" w:rsidRDefault="00742180" w:rsidP="00742180">
      <w:pPr>
        <w:rPr>
          <w:rFonts w:cs="Arial"/>
          <w:szCs w:val="19"/>
          <w:lang w:val="de-DE"/>
        </w:rPr>
      </w:pPr>
    </w:p>
    <w:p w14:paraId="54E48D26" w14:textId="1A1DD686" w:rsidR="00742180" w:rsidRPr="00742180" w:rsidRDefault="00742180" w:rsidP="00742180">
      <w:pPr>
        <w:rPr>
          <w:rFonts w:cs="Arial"/>
          <w:szCs w:val="19"/>
          <w:lang w:val="de-DE"/>
        </w:rPr>
      </w:pPr>
      <w:r w:rsidRPr="00742180">
        <w:rPr>
          <w:rFonts w:cs="Arial"/>
          <w:szCs w:val="19"/>
          <w:lang w:val="de-DE"/>
        </w:rPr>
        <w:t>2016 wurde unter anderem das Technologie- und Service Management System TESMA</w:t>
      </w:r>
      <w:r w:rsidRPr="00742180">
        <w:rPr>
          <w:rFonts w:cs="Arial"/>
          <w:szCs w:val="19"/>
          <w:vertAlign w:val="superscript"/>
          <w:lang w:val="de-DE"/>
        </w:rPr>
        <w:t>®</w:t>
      </w:r>
      <w:r w:rsidRPr="00742180">
        <w:rPr>
          <w:rFonts w:cs="Arial"/>
          <w:szCs w:val="19"/>
          <w:lang w:val="de-DE"/>
        </w:rPr>
        <w:t xml:space="preserve"> in einer neuen Version auf den Markt gebracht. Kunden von CHG-MERIDIAN verwalten über die Software effizient kaufmännischen und technischen Daten ihrer umfangreichen Technologieinfrastruktur. </w:t>
      </w:r>
    </w:p>
    <w:p w14:paraId="5F07C53E" w14:textId="77777777" w:rsidR="00742180" w:rsidRPr="00742180" w:rsidRDefault="00742180" w:rsidP="00742180">
      <w:pPr>
        <w:rPr>
          <w:rFonts w:cs="Arial"/>
          <w:szCs w:val="19"/>
          <w:lang w:val="de-DE"/>
        </w:rPr>
      </w:pPr>
    </w:p>
    <w:p w14:paraId="4826BE94" w14:textId="77777777" w:rsidR="00742180" w:rsidRPr="00742180" w:rsidRDefault="00742180" w:rsidP="00742180">
      <w:pPr>
        <w:rPr>
          <w:rFonts w:cs="Arial"/>
          <w:szCs w:val="19"/>
          <w:lang w:val="de-DE"/>
        </w:rPr>
      </w:pPr>
      <w:r w:rsidRPr="00742180">
        <w:rPr>
          <w:rFonts w:cs="Arial"/>
          <w:szCs w:val="19"/>
          <w:lang w:val="de-DE"/>
        </w:rPr>
        <w:t xml:space="preserve">Eine weitere Marktdurchdringung erreichte CHG-MERIDIAN auch mit dem erstmals in 2015 in Deutschland angebotenen Lösungsbereich „Enterprise Mobility Solutions“. Mit diesem Lösungsbereich bietet das Unternehmen vielfältige Services rund um die effiziente Nutzung von mobilen Endgeräten. Seit Mitte 2016 ist der Lösungsbereich auch in weiten Teilen des europäischen Auslands verfügbar. </w:t>
      </w:r>
    </w:p>
    <w:p w14:paraId="116A128E" w14:textId="77777777" w:rsidR="00742180" w:rsidRPr="00742180" w:rsidRDefault="00742180" w:rsidP="00742180">
      <w:pPr>
        <w:rPr>
          <w:rFonts w:cs="Arial"/>
          <w:szCs w:val="19"/>
          <w:lang w:val="de-DE"/>
        </w:rPr>
      </w:pPr>
    </w:p>
    <w:p w14:paraId="2D567C72" w14:textId="77777777" w:rsidR="00742180" w:rsidRPr="00742180" w:rsidRDefault="00742180" w:rsidP="00742180">
      <w:pPr>
        <w:rPr>
          <w:rFonts w:cs="Arial"/>
          <w:b/>
          <w:szCs w:val="19"/>
          <w:lang w:val="de-DE"/>
        </w:rPr>
      </w:pPr>
      <w:r w:rsidRPr="00742180">
        <w:rPr>
          <w:rFonts w:cs="Arial"/>
          <w:b/>
          <w:szCs w:val="19"/>
          <w:lang w:val="de-DE"/>
        </w:rPr>
        <w:t>Höchstwert bei zertifizierter Datenlöschung eraSURE</w:t>
      </w:r>
    </w:p>
    <w:p w14:paraId="69F0F75B" w14:textId="77777777" w:rsidR="00742180" w:rsidRPr="00742180" w:rsidRDefault="00742180" w:rsidP="00742180">
      <w:pPr>
        <w:rPr>
          <w:rFonts w:cs="Arial"/>
          <w:b/>
          <w:szCs w:val="19"/>
          <w:lang w:val="de-DE"/>
        </w:rPr>
      </w:pPr>
    </w:p>
    <w:p w14:paraId="5C4E4502" w14:textId="77777777" w:rsidR="00742180" w:rsidRPr="00742180" w:rsidRDefault="00742180" w:rsidP="00742180">
      <w:pPr>
        <w:rPr>
          <w:rFonts w:cs="Arial"/>
          <w:szCs w:val="19"/>
          <w:lang w:val="de-DE"/>
        </w:rPr>
      </w:pPr>
      <w:r w:rsidRPr="00742180">
        <w:rPr>
          <w:rFonts w:cs="Arial"/>
          <w:szCs w:val="19"/>
          <w:lang w:val="de-DE"/>
        </w:rPr>
        <w:t xml:space="preserve">Das auf unterschiedliche Kundenbedürfnisse zugeschnittene Leistungsangebot zur Datenlöschung erwies sich auch 2016 als nachhaltiges Erfolgsmodell: Die Zahl der nach TÜV oder DEKRA-Standards zertifiziert gelöschten IT-Geräte stieg um gut ein Drittel auf einen Rekordstand von mehr als 141.000 (2015: 106.000). „Damit zeigt sich, dass unsere zertifizierte Datenlöschung eraSURE optimal auf die zunehmende Sensibilisierung von Unternehmen hinsichtlich des Datenschutzes und der Datensicherheit zugeschnitten ist“, sagte Dr. Wagner. </w:t>
      </w:r>
    </w:p>
    <w:p w14:paraId="41BA4D98" w14:textId="77777777" w:rsidR="00742180" w:rsidRPr="00742180" w:rsidRDefault="00742180" w:rsidP="00742180">
      <w:pPr>
        <w:rPr>
          <w:rFonts w:cs="Arial"/>
          <w:szCs w:val="19"/>
          <w:lang w:val="de-DE"/>
        </w:rPr>
      </w:pPr>
    </w:p>
    <w:p w14:paraId="233FA154" w14:textId="77777777" w:rsidR="00742180" w:rsidRPr="00742180" w:rsidRDefault="00742180" w:rsidP="00742180">
      <w:pPr>
        <w:rPr>
          <w:rFonts w:cs="Arial"/>
          <w:szCs w:val="19"/>
          <w:lang w:val="de-DE"/>
        </w:rPr>
      </w:pPr>
      <w:r w:rsidRPr="00742180">
        <w:rPr>
          <w:rFonts w:cs="Arial"/>
          <w:szCs w:val="19"/>
          <w:lang w:val="de-DE"/>
        </w:rPr>
        <w:t xml:space="preserve">Das Geschäft, mit zertifizierten Prozessen, sensible Daten von Gebrauchtgeräten wie PC´s, Notebooks, Mobiltelefonen und Druckern zu löschen, gehört zu den Kernaufgaben in der Nachvermarktung von Gebrauchtgeräten. Auf konstant hohem Niveau blieb auch die Zahl der nachvermarkteten Geräte: 2016 bereitete CHG-MERIDIAN in seinem eigenen Technologie- und Servicezentrum nahe Frankfurt am Main rund 495.000 IT-Geräte professionell für den Zweitmarkt auf (2015: 490.000). </w:t>
      </w:r>
    </w:p>
    <w:p w14:paraId="5B1CD693" w14:textId="77777777" w:rsidR="00742180" w:rsidRPr="00742180" w:rsidRDefault="00742180" w:rsidP="00742180">
      <w:pPr>
        <w:rPr>
          <w:rFonts w:cs="Arial"/>
          <w:szCs w:val="19"/>
          <w:lang w:val="de-DE"/>
        </w:rPr>
      </w:pPr>
    </w:p>
    <w:p w14:paraId="7C60B50B" w14:textId="77777777" w:rsidR="00742180" w:rsidRPr="00742180" w:rsidRDefault="00742180" w:rsidP="00742180">
      <w:pPr>
        <w:rPr>
          <w:rFonts w:cs="Arial"/>
          <w:szCs w:val="19"/>
          <w:lang w:val="de-DE"/>
        </w:rPr>
      </w:pPr>
      <w:r w:rsidRPr="00742180">
        <w:rPr>
          <w:rFonts w:cs="Arial"/>
          <w:b/>
          <w:szCs w:val="19"/>
          <w:lang w:val="de-DE"/>
        </w:rPr>
        <w:t xml:space="preserve">Näher am Kunden: Zwei neue Standorte in Deutschland </w:t>
      </w:r>
    </w:p>
    <w:p w14:paraId="250E5990" w14:textId="77777777" w:rsidR="00742180" w:rsidRPr="00742180" w:rsidRDefault="00742180" w:rsidP="00742180">
      <w:pPr>
        <w:rPr>
          <w:rFonts w:cs="Arial"/>
          <w:szCs w:val="19"/>
          <w:lang w:val="de-DE"/>
        </w:rPr>
      </w:pPr>
    </w:p>
    <w:p w14:paraId="328EB8D0" w14:textId="19A1E15B" w:rsidR="00742180" w:rsidRPr="00742180" w:rsidRDefault="00742180" w:rsidP="00742180">
      <w:pPr>
        <w:rPr>
          <w:rFonts w:cs="Arial"/>
          <w:szCs w:val="19"/>
          <w:lang w:val="de-DE"/>
        </w:rPr>
      </w:pPr>
      <w:r w:rsidRPr="00742180">
        <w:rPr>
          <w:rFonts w:cs="Arial"/>
          <w:szCs w:val="19"/>
          <w:lang w:val="de-DE"/>
        </w:rPr>
        <w:t>Mit zwei neuen Standorten in Deutschland</w:t>
      </w:r>
      <w:bookmarkStart w:id="0" w:name="_GoBack"/>
      <w:bookmarkEnd w:id="0"/>
      <w:r w:rsidRPr="00742180">
        <w:rPr>
          <w:rFonts w:cs="Arial"/>
          <w:szCs w:val="19"/>
          <w:lang w:val="de-DE"/>
        </w:rPr>
        <w:t xml:space="preserve"> will CHG-MERIDIAN auf dem Heimatmarkt weitere vertriebliche Wachstumschancen nutzen und näher am Kunden sein: in Baden-Württemberg hat in Stuttgart bereits im Februar ein neuer Standort seine Pforten eröffnet, ein weiterer Standort soll in Bielefeld in Nordrhein-Westfalen im März folgen. </w:t>
      </w:r>
    </w:p>
    <w:p w14:paraId="2854D2B0" w14:textId="77777777" w:rsidR="00742180" w:rsidRPr="00742180" w:rsidRDefault="00742180" w:rsidP="00742180">
      <w:pPr>
        <w:rPr>
          <w:rFonts w:cs="Arial"/>
          <w:b/>
          <w:szCs w:val="19"/>
          <w:lang w:val="de-DE"/>
        </w:rPr>
      </w:pPr>
    </w:p>
    <w:p w14:paraId="59237C95" w14:textId="77777777" w:rsidR="00742180" w:rsidRPr="00742180" w:rsidRDefault="00742180" w:rsidP="00742180">
      <w:pPr>
        <w:rPr>
          <w:rFonts w:cs="Arial"/>
          <w:szCs w:val="19"/>
          <w:lang w:val="de-DE"/>
        </w:rPr>
      </w:pPr>
      <w:r w:rsidRPr="00742180">
        <w:rPr>
          <w:rFonts w:cs="Arial"/>
          <w:szCs w:val="19"/>
          <w:lang w:val="de-DE"/>
        </w:rPr>
        <w:t xml:space="preserve">Mit der offiziellen Einweihung des Erweiterungsbaus im Juni 2016 in der Zentrale von CHG-MERIDIAN im oberschwäbischen Weingarten, hat das Unternehmen auf 4.700 Quadratmetern Nutzfläche, Raum für weitere 250 zusätzliche Arbeitsplätze geschaffen und damit auch in baulicher Hinsicht das Fundament für weiteres Wachstum gelegt. </w:t>
      </w:r>
    </w:p>
    <w:p w14:paraId="416F4761" w14:textId="77777777" w:rsidR="00742180" w:rsidRPr="00742180" w:rsidRDefault="00742180" w:rsidP="00742180">
      <w:pPr>
        <w:rPr>
          <w:rFonts w:cs="Arial"/>
          <w:szCs w:val="19"/>
          <w:lang w:val="de-DE"/>
        </w:rPr>
      </w:pPr>
    </w:p>
    <w:p w14:paraId="6512399D" w14:textId="5F3C8D95" w:rsidR="00742180" w:rsidRDefault="00742180" w:rsidP="00742180">
      <w:pPr>
        <w:rPr>
          <w:rFonts w:cs="Arial"/>
          <w:szCs w:val="19"/>
          <w:lang w:val="de-DE"/>
        </w:rPr>
      </w:pPr>
      <w:r w:rsidRPr="00742180">
        <w:rPr>
          <w:rFonts w:cs="Arial"/>
          <w:szCs w:val="19"/>
          <w:lang w:val="de-DE"/>
        </w:rPr>
        <w:t xml:space="preserve">Weltweit beschäftigte CHG-MERIDIAN zum Jahresende 910 Mitarbeiterinnen und Mitarbeiter  in 23 Ländern an mehr als 40 Standorten. Hiervon entfallen 490 Beschäftigte in Deutschland, wobei 290 Mitarbeiterinnen und Mitarbeiter im süddeutschen Weingarten in der Unternehmenszentrale von CHG-MERIDIAN tätig sind. Zum 31.12.2016 beschäftigte CHG-MERIDIAN 11 Auszubildende, 15 Studenten und 5 Trainees.    </w:t>
      </w:r>
    </w:p>
    <w:p w14:paraId="31108384" w14:textId="77777777" w:rsidR="00742180" w:rsidRPr="00742180" w:rsidRDefault="00742180" w:rsidP="00742180">
      <w:pPr>
        <w:rPr>
          <w:rFonts w:cs="Arial"/>
          <w:szCs w:val="19"/>
          <w:lang w:val="de-DE"/>
        </w:rPr>
      </w:pPr>
    </w:p>
    <w:p w14:paraId="07393306" w14:textId="77777777" w:rsidR="00742180" w:rsidRPr="00742180" w:rsidRDefault="00742180" w:rsidP="00742180">
      <w:pPr>
        <w:rPr>
          <w:rFonts w:cs="Arial"/>
          <w:szCs w:val="19"/>
          <w:lang w:val="de-DE"/>
        </w:rPr>
      </w:pPr>
    </w:p>
    <w:p w14:paraId="142BDE27" w14:textId="77777777" w:rsidR="00354E49" w:rsidRPr="00742180" w:rsidRDefault="00354E49" w:rsidP="00354E49">
      <w:pPr>
        <w:ind w:right="1417"/>
        <w:rPr>
          <w:b/>
          <w:szCs w:val="19"/>
          <w:lang w:val="de-DE"/>
        </w:rPr>
      </w:pPr>
      <w:r w:rsidRPr="00742180">
        <w:rPr>
          <w:b/>
          <w:szCs w:val="19"/>
          <w:lang w:val="de-DE"/>
        </w:rPr>
        <w:t xml:space="preserve">Weitere Informationen finden Sie unter: </w:t>
      </w:r>
    </w:p>
    <w:p w14:paraId="71F648A5" w14:textId="77777777" w:rsidR="00354E49" w:rsidRPr="00742180" w:rsidRDefault="0016366C" w:rsidP="00354E49">
      <w:pPr>
        <w:spacing w:line="360" w:lineRule="auto"/>
        <w:ind w:right="1417"/>
        <w:rPr>
          <w:szCs w:val="19"/>
          <w:lang w:val="de-DE"/>
        </w:rPr>
      </w:pPr>
      <w:hyperlink r:id="rId8" w:history="1">
        <w:r w:rsidR="00354E49" w:rsidRPr="00742180">
          <w:rPr>
            <w:color w:val="000000" w:themeColor="accent6"/>
            <w:szCs w:val="19"/>
            <w:lang w:val="de-DE"/>
          </w:rPr>
          <w:t xml:space="preserve">www.chg-meridian.com </w:t>
        </w:r>
      </w:hyperlink>
      <w:r w:rsidR="00354E49" w:rsidRPr="00742180">
        <w:rPr>
          <w:szCs w:val="19"/>
          <w:lang w:val="de-DE"/>
        </w:rPr>
        <w:t xml:space="preserve"> </w:t>
      </w:r>
    </w:p>
    <w:p w14:paraId="104DD0EA" w14:textId="77777777" w:rsidR="00354E49" w:rsidRPr="002E23B1" w:rsidRDefault="00354E49" w:rsidP="00354E49">
      <w:pPr>
        <w:rPr>
          <w:b/>
          <w:szCs w:val="19"/>
          <w:lang w:val="de-DE"/>
        </w:rPr>
      </w:pPr>
    </w:p>
    <w:p w14:paraId="145454F0" w14:textId="01F92782" w:rsidR="00354E49" w:rsidRPr="004776E5" w:rsidRDefault="00354E49" w:rsidP="00354E49">
      <w:pPr>
        <w:spacing w:line="360" w:lineRule="auto"/>
        <w:jc w:val="left"/>
        <w:rPr>
          <w:sz w:val="22"/>
          <w:szCs w:val="19"/>
          <w:lang w:val="de-DE"/>
        </w:rPr>
      </w:pPr>
      <w:r w:rsidRPr="004776E5">
        <w:rPr>
          <w:b/>
          <w:caps/>
          <w:sz w:val="22"/>
          <w:szCs w:val="19"/>
          <w:lang w:val="de-DE"/>
        </w:rPr>
        <w:lastRenderedPageBreak/>
        <w:t>Finanzkennzahlen CHG-MERIDIAN Gruppe – 201</w:t>
      </w:r>
      <w:r w:rsidR="004776E5" w:rsidRPr="004776E5">
        <w:rPr>
          <w:b/>
          <w:caps/>
          <w:sz w:val="22"/>
          <w:szCs w:val="19"/>
          <w:lang w:val="de-DE"/>
        </w:rPr>
        <w:t>6</w:t>
      </w:r>
      <w:r w:rsidRPr="004776E5">
        <w:rPr>
          <w:b/>
          <w:caps/>
          <w:sz w:val="22"/>
          <w:szCs w:val="19"/>
          <w:lang w:val="de-DE"/>
        </w:rPr>
        <w:t xml:space="preserve"> (31.12.201</w:t>
      </w:r>
      <w:r w:rsidR="004776E5" w:rsidRPr="004776E5">
        <w:rPr>
          <w:b/>
          <w:caps/>
          <w:sz w:val="22"/>
          <w:szCs w:val="19"/>
          <w:lang w:val="de-DE"/>
        </w:rPr>
        <w:t>6</w:t>
      </w:r>
      <w:r w:rsidRPr="004776E5">
        <w:rPr>
          <w:b/>
          <w:caps/>
          <w:sz w:val="22"/>
          <w:szCs w:val="19"/>
          <w:lang w:val="de-DE"/>
        </w:rPr>
        <w:t>)</w:t>
      </w:r>
    </w:p>
    <w:tbl>
      <w:tblPr>
        <w:tblW w:w="7455" w:type="dxa"/>
        <w:tblInd w:w="70" w:type="dxa"/>
        <w:tblLayout w:type="fixed"/>
        <w:tblCellMar>
          <w:left w:w="70" w:type="dxa"/>
          <w:right w:w="70" w:type="dxa"/>
        </w:tblCellMar>
        <w:tblLook w:val="04A0" w:firstRow="1" w:lastRow="0" w:firstColumn="1" w:lastColumn="0" w:noHBand="0" w:noVBand="1"/>
      </w:tblPr>
      <w:tblGrid>
        <w:gridCol w:w="3825"/>
        <w:gridCol w:w="1815"/>
        <w:gridCol w:w="1815"/>
      </w:tblGrid>
      <w:tr w:rsidR="004776E5" w:rsidRPr="004776E5" w14:paraId="3C704F26" w14:textId="77777777" w:rsidTr="000555D8">
        <w:trPr>
          <w:trHeight w:val="210"/>
        </w:trPr>
        <w:tc>
          <w:tcPr>
            <w:tcW w:w="3825" w:type="dxa"/>
            <w:shd w:val="clear" w:color="auto" w:fill="7B7150" w:themeFill="background1" w:themeFillShade="80"/>
            <w:noWrap/>
            <w:hideMark/>
          </w:tcPr>
          <w:p w14:paraId="024B29F2" w14:textId="77777777" w:rsidR="00354E49" w:rsidRPr="000555D8" w:rsidRDefault="00354E49" w:rsidP="00E04E02">
            <w:pPr>
              <w:rPr>
                <w:b/>
                <w:color w:val="F6F5F2" w:themeColor="background1" w:themeTint="33"/>
                <w:szCs w:val="19"/>
              </w:rPr>
            </w:pPr>
            <w:r w:rsidRPr="000555D8">
              <w:rPr>
                <w:b/>
                <w:color w:val="F6F5F2" w:themeColor="background1" w:themeTint="33"/>
                <w:szCs w:val="19"/>
              </w:rPr>
              <w:t>in TEUR</w:t>
            </w:r>
          </w:p>
        </w:tc>
        <w:tc>
          <w:tcPr>
            <w:tcW w:w="1815" w:type="dxa"/>
            <w:shd w:val="clear" w:color="auto" w:fill="7B7150" w:themeFill="background1" w:themeFillShade="80"/>
            <w:noWrap/>
            <w:hideMark/>
          </w:tcPr>
          <w:p w14:paraId="1894E994" w14:textId="1B2ADA0B" w:rsidR="00354E49" w:rsidRPr="000555D8" w:rsidRDefault="00354E49" w:rsidP="004776E5">
            <w:pPr>
              <w:jc w:val="right"/>
              <w:rPr>
                <w:b/>
                <w:color w:val="F6F5F2" w:themeColor="background1" w:themeTint="33"/>
                <w:szCs w:val="19"/>
              </w:rPr>
            </w:pPr>
            <w:r w:rsidRPr="000555D8">
              <w:rPr>
                <w:b/>
                <w:color w:val="F6F5F2" w:themeColor="background1" w:themeTint="33"/>
                <w:szCs w:val="19"/>
              </w:rPr>
              <w:t xml:space="preserve">             201</w:t>
            </w:r>
            <w:r w:rsidR="004776E5" w:rsidRPr="000555D8">
              <w:rPr>
                <w:b/>
                <w:color w:val="F6F5F2" w:themeColor="background1" w:themeTint="33"/>
                <w:szCs w:val="19"/>
              </w:rPr>
              <w:t>6</w:t>
            </w:r>
          </w:p>
        </w:tc>
        <w:tc>
          <w:tcPr>
            <w:tcW w:w="1815" w:type="dxa"/>
            <w:shd w:val="clear" w:color="auto" w:fill="7B7150" w:themeFill="background1" w:themeFillShade="80"/>
            <w:noWrap/>
            <w:hideMark/>
          </w:tcPr>
          <w:p w14:paraId="23D1A33E" w14:textId="326B7C3D" w:rsidR="00354E49" w:rsidRPr="000555D8" w:rsidRDefault="00354E49" w:rsidP="004776E5">
            <w:pPr>
              <w:jc w:val="right"/>
              <w:rPr>
                <w:b/>
                <w:color w:val="F6F5F2" w:themeColor="background1" w:themeTint="33"/>
                <w:szCs w:val="19"/>
              </w:rPr>
            </w:pPr>
            <w:r w:rsidRPr="000555D8">
              <w:rPr>
                <w:b/>
                <w:color w:val="F6F5F2" w:themeColor="background1" w:themeTint="33"/>
                <w:szCs w:val="19"/>
              </w:rPr>
              <w:t xml:space="preserve">                   201</w:t>
            </w:r>
            <w:r w:rsidR="004776E5" w:rsidRPr="000555D8">
              <w:rPr>
                <w:b/>
                <w:color w:val="F6F5F2" w:themeColor="background1" w:themeTint="33"/>
                <w:szCs w:val="19"/>
              </w:rPr>
              <w:t>5</w:t>
            </w:r>
          </w:p>
        </w:tc>
      </w:tr>
      <w:tr w:rsidR="004776E5" w:rsidRPr="004776E5" w14:paraId="46882F7B" w14:textId="77777777" w:rsidTr="00354E49">
        <w:trPr>
          <w:trHeight w:val="240"/>
        </w:trPr>
        <w:tc>
          <w:tcPr>
            <w:tcW w:w="3825" w:type="dxa"/>
            <w:noWrap/>
            <w:vAlign w:val="bottom"/>
            <w:hideMark/>
          </w:tcPr>
          <w:p w14:paraId="3B99458A" w14:textId="77777777" w:rsidR="004776E5" w:rsidRPr="004776E5" w:rsidRDefault="004776E5" w:rsidP="004776E5">
            <w:pPr>
              <w:spacing w:line="240" w:lineRule="auto"/>
              <w:jc w:val="left"/>
              <w:rPr>
                <w:rFonts w:eastAsia="Times New Roman" w:cs="Arial"/>
                <w:szCs w:val="19"/>
                <w:lang w:val="de-DE" w:eastAsia="de-DE"/>
              </w:rPr>
            </w:pPr>
            <w:r w:rsidRPr="004776E5">
              <w:rPr>
                <w:rFonts w:eastAsia="Times New Roman" w:cs="Arial"/>
                <w:szCs w:val="19"/>
                <w:lang w:val="de-DE" w:eastAsia="de-DE"/>
              </w:rPr>
              <w:t>Neuinvestitionsvolumen Gruppe</w:t>
            </w:r>
          </w:p>
        </w:tc>
        <w:tc>
          <w:tcPr>
            <w:tcW w:w="1815" w:type="dxa"/>
            <w:noWrap/>
            <w:vAlign w:val="bottom"/>
          </w:tcPr>
          <w:p w14:paraId="020D85B8" w14:textId="0E07720C" w:rsidR="004776E5" w:rsidRPr="004776E5" w:rsidRDefault="004776E5" w:rsidP="004776E5">
            <w:pPr>
              <w:spacing w:line="240" w:lineRule="auto"/>
              <w:jc w:val="right"/>
              <w:rPr>
                <w:rFonts w:eastAsia="Times New Roman" w:cs="Arial"/>
                <w:szCs w:val="19"/>
                <w:lang w:val="de-DE" w:eastAsia="de-DE"/>
              </w:rPr>
            </w:pPr>
            <w:r w:rsidRPr="004776E5">
              <w:rPr>
                <w:rFonts w:eastAsia="Times New Roman" w:cs="Arial"/>
                <w:szCs w:val="19"/>
                <w:lang w:val="de-DE" w:eastAsia="de-DE"/>
              </w:rPr>
              <w:t>1.154.727</w:t>
            </w:r>
          </w:p>
        </w:tc>
        <w:tc>
          <w:tcPr>
            <w:tcW w:w="1815" w:type="dxa"/>
            <w:noWrap/>
            <w:vAlign w:val="bottom"/>
            <w:hideMark/>
          </w:tcPr>
          <w:p w14:paraId="5BCF9B5D" w14:textId="79E030E4" w:rsidR="004776E5" w:rsidRPr="004776E5" w:rsidRDefault="004776E5" w:rsidP="004776E5">
            <w:pPr>
              <w:spacing w:line="240" w:lineRule="auto"/>
              <w:jc w:val="right"/>
              <w:rPr>
                <w:rFonts w:eastAsia="Times New Roman" w:cs="Arial"/>
                <w:szCs w:val="19"/>
                <w:lang w:val="de-DE" w:eastAsia="de-DE"/>
              </w:rPr>
            </w:pPr>
            <w:r w:rsidRPr="004776E5">
              <w:rPr>
                <w:rFonts w:eastAsia="Times New Roman" w:cs="Arial"/>
                <w:szCs w:val="19"/>
                <w:lang w:val="de-DE" w:eastAsia="de-DE"/>
              </w:rPr>
              <w:t>1.056.511</w:t>
            </w:r>
          </w:p>
        </w:tc>
      </w:tr>
      <w:tr w:rsidR="004776E5" w:rsidRPr="004776E5" w14:paraId="35806EFD" w14:textId="77777777" w:rsidTr="000555D8">
        <w:trPr>
          <w:trHeight w:val="240"/>
        </w:trPr>
        <w:tc>
          <w:tcPr>
            <w:tcW w:w="3825" w:type="dxa"/>
            <w:shd w:val="clear" w:color="auto" w:fill="D6D1C0" w:themeFill="background1"/>
            <w:noWrap/>
            <w:vAlign w:val="bottom"/>
            <w:hideMark/>
          </w:tcPr>
          <w:p w14:paraId="7192535A" w14:textId="77777777" w:rsidR="004776E5" w:rsidRPr="000555D8" w:rsidRDefault="004776E5" w:rsidP="004776E5">
            <w:pPr>
              <w:spacing w:line="240" w:lineRule="auto"/>
              <w:jc w:val="left"/>
              <w:rPr>
                <w:rFonts w:eastAsia="Times New Roman" w:cs="Arial"/>
                <w:szCs w:val="19"/>
                <w:lang w:val="de-DE" w:eastAsia="de-DE"/>
              </w:rPr>
            </w:pPr>
            <w:r w:rsidRPr="000555D8">
              <w:rPr>
                <w:rFonts w:eastAsia="Times New Roman" w:cs="Arial"/>
                <w:szCs w:val="19"/>
                <w:lang w:val="de-DE" w:eastAsia="de-DE"/>
              </w:rPr>
              <w:t>nach Regionen:</w:t>
            </w:r>
          </w:p>
        </w:tc>
        <w:tc>
          <w:tcPr>
            <w:tcW w:w="1815" w:type="dxa"/>
            <w:shd w:val="clear" w:color="auto" w:fill="D6D1C0" w:themeFill="background1"/>
            <w:noWrap/>
            <w:vAlign w:val="bottom"/>
          </w:tcPr>
          <w:p w14:paraId="1594A373" w14:textId="77777777" w:rsidR="004776E5" w:rsidRPr="000555D8" w:rsidRDefault="004776E5" w:rsidP="004776E5">
            <w:pPr>
              <w:spacing w:line="240" w:lineRule="auto"/>
              <w:jc w:val="left"/>
              <w:rPr>
                <w:rFonts w:ascii="Calibri" w:hAnsi="Calibri"/>
                <w:sz w:val="20"/>
                <w:szCs w:val="20"/>
                <w:lang w:val="de-DE" w:eastAsia="de-DE"/>
              </w:rPr>
            </w:pPr>
          </w:p>
        </w:tc>
        <w:tc>
          <w:tcPr>
            <w:tcW w:w="1815" w:type="dxa"/>
            <w:shd w:val="clear" w:color="auto" w:fill="D6D1C0" w:themeFill="background1"/>
            <w:noWrap/>
            <w:vAlign w:val="bottom"/>
            <w:hideMark/>
          </w:tcPr>
          <w:p w14:paraId="024F4115" w14:textId="77777777" w:rsidR="004776E5" w:rsidRPr="000555D8" w:rsidRDefault="004776E5" w:rsidP="004776E5">
            <w:pPr>
              <w:spacing w:line="240" w:lineRule="auto"/>
              <w:jc w:val="left"/>
              <w:rPr>
                <w:rFonts w:ascii="Calibri" w:hAnsi="Calibri"/>
                <w:sz w:val="20"/>
                <w:szCs w:val="20"/>
                <w:lang w:val="de-DE" w:eastAsia="de-DE"/>
              </w:rPr>
            </w:pPr>
          </w:p>
        </w:tc>
      </w:tr>
      <w:tr w:rsidR="004776E5" w:rsidRPr="004776E5" w14:paraId="1F5AA81F" w14:textId="77777777" w:rsidTr="000555D8">
        <w:trPr>
          <w:trHeight w:val="240"/>
        </w:trPr>
        <w:tc>
          <w:tcPr>
            <w:tcW w:w="3825" w:type="dxa"/>
            <w:shd w:val="clear" w:color="auto" w:fill="D6D1C0" w:themeFill="background1"/>
            <w:noWrap/>
            <w:vAlign w:val="bottom"/>
            <w:hideMark/>
          </w:tcPr>
          <w:p w14:paraId="1B2EA7C5" w14:textId="3A097B29" w:rsidR="004776E5" w:rsidRPr="000555D8" w:rsidRDefault="004776E5" w:rsidP="004776E5">
            <w:pPr>
              <w:spacing w:line="240" w:lineRule="auto"/>
              <w:jc w:val="left"/>
              <w:rPr>
                <w:rFonts w:eastAsia="Times New Roman" w:cs="Arial"/>
                <w:szCs w:val="19"/>
                <w:lang w:val="de-DE" w:eastAsia="de-DE"/>
              </w:rPr>
            </w:pPr>
            <w:r w:rsidRPr="000555D8">
              <w:rPr>
                <w:rFonts w:eastAsia="Times New Roman" w:cs="Arial"/>
                <w:szCs w:val="19"/>
                <w:lang w:val="de-DE" w:eastAsia="de-DE"/>
              </w:rPr>
              <w:t>Deutschland</w:t>
            </w:r>
          </w:p>
        </w:tc>
        <w:tc>
          <w:tcPr>
            <w:tcW w:w="1815" w:type="dxa"/>
            <w:shd w:val="clear" w:color="auto" w:fill="D6D1C0" w:themeFill="background1"/>
            <w:noWrap/>
            <w:vAlign w:val="bottom"/>
          </w:tcPr>
          <w:p w14:paraId="67E70276" w14:textId="7618AE67" w:rsidR="004776E5" w:rsidRPr="000555D8" w:rsidRDefault="004776E5" w:rsidP="004776E5">
            <w:pPr>
              <w:spacing w:line="240" w:lineRule="auto"/>
              <w:jc w:val="right"/>
              <w:rPr>
                <w:rFonts w:eastAsia="Times New Roman" w:cs="Arial"/>
                <w:szCs w:val="19"/>
                <w:lang w:val="de-DE" w:eastAsia="de-DE"/>
              </w:rPr>
            </w:pPr>
            <w:r w:rsidRPr="000555D8">
              <w:rPr>
                <w:rFonts w:eastAsia="Times New Roman" w:cs="Arial"/>
                <w:szCs w:val="19"/>
                <w:lang w:val="de-DE" w:eastAsia="de-DE"/>
              </w:rPr>
              <w:t>548.470</w:t>
            </w:r>
          </w:p>
        </w:tc>
        <w:tc>
          <w:tcPr>
            <w:tcW w:w="1815" w:type="dxa"/>
            <w:shd w:val="clear" w:color="auto" w:fill="D6D1C0" w:themeFill="background1"/>
            <w:noWrap/>
            <w:vAlign w:val="bottom"/>
            <w:hideMark/>
          </w:tcPr>
          <w:p w14:paraId="2456572A" w14:textId="717A8A84" w:rsidR="004776E5" w:rsidRPr="000555D8" w:rsidRDefault="004776E5" w:rsidP="004776E5">
            <w:pPr>
              <w:spacing w:line="240" w:lineRule="auto"/>
              <w:jc w:val="right"/>
              <w:rPr>
                <w:rFonts w:eastAsia="Times New Roman" w:cs="Arial"/>
                <w:szCs w:val="19"/>
                <w:lang w:val="de-DE" w:eastAsia="de-DE"/>
              </w:rPr>
            </w:pPr>
            <w:r w:rsidRPr="000555D8">
              <w:rPr>
                <w:rFonts w:eastAsia="Times New Roman" w:cs="Arial"/>
                <w:szCs w:val="19"/>
                <w:lang w:val="de-DE" w:eastAsia="de-DE"/>
              </w:rPr>
              <w:t>499.770</w:t>
            </w:r>
          </w:p>
        </w:tc>
      </w:tr>
      <w:tr w:rsidR="004776E5" w:rsidRPr="004776E5" w14:paraId="5B4ADBF9" w14:textId="77777777" w:rsidTr="000555D8">
        <w:trPr>
          <w:trHeight w:val="240"/>
        </w:trPr>
        <w:tc>
          <w:tcPr>
            <w:tcW w:w="3825" w:type="dxa"/>
            <w:shd w:val="clear" w:color="auto" w:fill="D6D1C0" w:themeFill="background1"/>
            <w:noWrap/>
            <w:vAlign w:val="bottom"/>
            <w:hideMark/>
          </w:tcPr>
          <w:p w14:paraId="73F07A23" w14:textId="77777777" w:rsidR="004776E5" w:rsidRPr="000555D8" w:rsidRDefault="004776E5" w:rsidP="004776E5">
            <w:pPr>
              <w:spacing w:line="240" w:lineRule="auto"/>
              <w:jc w:val="left"/>
              <w:rPr>
                <w:rFonts w:eastAsia="Times New Roman" w:cs="Arial"/>
                <w:szCs w:val="19"/>
                <w:lang w:val="de-DE" w:eastAsia="de-DE"/>
              </w:rPr>
            </w:pPr>
            <w:r w:rsidRPr="000555D8">
              <w:rPr>
                <w:rFonts w:eastAsia="Times New Roman" w:cs="Arial"/>
                <w:szCs w:val="19"/>
                <w:lang w:val="de-DE" w:eastAsia="de-DE"/>
              </w:rPr>
              <w:t xml:space="preserve">Western Europe </w:t>
            </w:r>
          </w:p>
        </w:tc>
        <w:tc>
          <w:tcPr>
            <w:tcW w:w="1815" w:type="dxa"/>
            <w:shd w:val="clear" w:color="auto" w:fill="D6D1C0" w:themeFill="background1"/>
            <w:noWrap/>
            <w:vAlign w:val="bottom"/>
          </w:tcPr>
          <w:p w14:paraId="6B8A787D" w14:textId="53BC2753" w:rsidR="004776E5" w:rsidRPr="000555D8" w:rsidRDefault="004776E5" w:rsidP="004776E5">
            <w:pPr>
              <w:spacing w:line="240" w:lineRule="auto"/>
              <w:jc w:val="right"/>
              <w:rPr>
                <w:rFonts w:eastAsia="Times New Roman" w:cs="Arial"/>
                <w:szCs w:val="19"/>
                <w:lang w:val="de-DE" w:eastAsia="de-DE"/>
              </w:rPr>
            </w:pPr>
            <w:r w:rsidRPr="000555D8">
              <w:rPr>
                <w:rFonts w:eastAsia="Times New Roman" w:cs="Arial"/>
                <w:szCs w:val="19"/>
                <w:lang w:val="de-DE" w:eastAsia="de-DE"/>
              </w:rPr>
              <w:t>184.889</w:t>
            </w:r>
          </w:p>
        </w:tc>
        <w:tc>
          <w:tcPr>
            <w:tcW w:w="1815" w:type="dxa"/>
            <w:shd w:val="clear" w:color="auto" w:fill="D6D1C0" w:themeFill="background1"/>
            <w:noWrap/>
            <w:vAlign w:val="bottom"/>
            <w:hideMark/>
          </w:tcPr>
          <w:p w14:paraId="3A3D4347" w14:textId="26428883" w:rsidR="004776E5" w:rsidRPr="000555D8" w:rsidRDefault="004776E5" w:rsidP="004776E5">
            <w:pPr>
              <w:spacing w:line="240" w:lineRule="auto"/>
              <w:jc w:val="right"/>
              <w:rPr>
                <w:rFonts w:eastAsia="Times New Roman" w:cs="Arial"/>
                <w:szCs w:val="19"/>
                <w:lang w:val="de-DE" w:eastAsia="de-DE"/>
              </w:rPr>
            </w:pPr>
            <w:r w:rsidRPr="000555D8">
              <w:rPr>
                <w:rFonts w:eastAsia="Times New Roman" w:cs="Arial"/>
                <w:szCs w:val="19"/>
                <w:lang w:val="de-DE" w:eastAsia="de-DE"/>
              </w:rPr>
              <w:t>185.967</w:t>
            </w:r>
          </w:p>
        </w:tc>
      </w:tr>
      <w:tr w:rsidR="004776E5" w:rsidRPr="004776E5" w14:paraId="62CB871E" w14:textId="77777777" w:rsidTr="000555D8">
        <w:trPr>
          <w:trHeight w:val="240"/>
        </w:trPr>
        <w:tc>
          <w:tcPr>
            <w:tcW w:w="3825" w:type="dxa"/>
            <w:shd w:val="clear" w:color="auto" w:fill="D6D1C0" w:themeFill="background1"/>
            <w:noWrap/>
            <w:vAlign w:val="bottom"/>
            <w:hideMark/>
          </w:tcPr>
          <w:p w14:paraId="61E5CFD9" w14:textId="77777777" w:rsidR="004776E5" w:rsidRPr="000555D8" w:rsidRDefault="004776E5" w:rsidP="004776E5">
            <w:pPr>
              <w:spacing w:line="240" w:lineRule="auto"/>
              <w:jc w:val="left"/>
              <w:rPr>
                <w:rFonts w:eastAsia="Times New Roman" w:cs="Arial"/>
                <w:szCs w:val="19"/>
                <w:lang w:val="de-DE" w:eastAsia="de-DE"/>
              </w:rPr>
            </w:pPr>
            <w:r w:rsidRPr="000555D8">
              <w:rPr>
                <w:rFonts w:eastAsia="Times New Roman" w:cs="Arial"/>
                <w:szCs w:val="19"/>
                <w:lang w:val="de-DE" w:eastAsia="de-DE"/>
              </w:rPr>
              <w:t>Southern Europe</w:t>
            </w:r>
          </w:p>
        </w:tc>
        <w:tc>
          <w:tcPr>
            <w:tcW w:w="1815" w:type="dxa"/>
            <w:shd w:val="clear" w:color="auto" w:fill="D6D1C0" w:themeFill="background1"/>
            <w:noWrap/>
            <w:vAlign w:val="bottom"/>
          </w:tcPr>
          <w:p w14:paraId="4863A35B" w14:textId="6F2477FD" w:rsidR="004776E5" w:rsidRPr="000555D8" w:rsidRDefault="004776E5" w:rsidP="004776E5">
            <w:pPr>
              <w:spacing w:line="240" w:lineRule="auto"/>
              <w:jc w:val="right"/>
              <w:rPr>
                <w:rFonts w:eastAsia="Times New Roman" w:cs="Arial"/>
                <w:szCs w:val="19"/>
                <w:lang w:val="de-DE" w:eastAsia="de-DE"/>
              </w:rPr>
            </w:pPr>
            <w:r w:rsidRPr="000555D8">
              <w:rPr>
                <w:rFonts w:eastAsia="Times New Roman" w:cs="Arial"/>
                <w:szCs w:val="19"/>
                <w:lang w:val="de-DE" w:eastAsia="de-DE"/>
              </w:rPr>
              <w:t>160.644</w:t>
            </w:r>
          </w:p>
        </w:tc>
        <w:tc>
          <w:tcPr>
            <w:tcW w:w="1815" w:type="dxa"/>
            <w:shd w:val="clear" w:color="auto" w:fill="D6D1C0" w:themeFill="background1"/>
            <w:noWrap/>
            <w:vAlign w:val="bottom"/>
            <w:hideMark/>
          </w:tcPr>
          <w:p w14:paraId="317EA6A3" w14:textId="687BF872" w:rsidR="004776E5" w:rsidRPr="000555D8" w:rsidRDefault="004776E5" w:rsidP="004776E5">
            <w:pPr>
              <w:spacing w:line="240" w:lineRule="auto"/>
              <w:jc w:val="right"/>
              <w:rPr>
                <w:rFonts w:eastAsia="Times New Roman" w:cs="Arial"/>
                <w:szCs w:val="19"/>
                <w:lang w:val="de-DE" w:eastAsia="de-DE"/>
              </w:rPr>
            </w:pPr>
            <w:r w:rsidRPr="000555D8">
              <w:rPr>
                <w:rFonts w:eastAsia="Times New Roman" w:cs="Arial"/>
                <w:szCs w:val="19"/>
                <w:lang w:val="de-DE" w:eastAsia="de-DE"/>
              </w:rPr>
              <w:t>127.219</w:t>
            </w:r>
          </w:p>
        </w:tc>
      </w:tr>
      <w:tr w:rsidR="004776E5" w:rsidRPr="004776E5" w14:paraId="5965267E" w14:textId="77777777" w:rsidTr="000555D8">
        <w:trPr>
          <w:trHeight w:val="240"/>
        </w:trPr>
        <w:tc>
          <w:tcPr>
            <w:tcW w:w="3825" w:type="dxa"/>
            <w:shd w:val="clear" w:color="auto" w:fill="D6D1C0" w:themeFill="background1"/>
            <w:noWrap/>
            <w:vAlign w:val="bottom"/>
            <w:hideMark/>
          </w:tcPr>
          <w:p w14:paraId="350B63D0" w14:textId="77777777" w:rsidR="004776E5" w:rsidRPr="000555D8" w:rsidRDefault="004776E5" w:rsidP="004776E5">
            <w:pPr>
              <w:spacing w:line="240" w:lineRule="auto"/>
              <w:jc w:val="left"/>
              <w:rPr>
                <w:rFonts w:eastAsia="Times New Roman" w:cs="Arial"/>
                <w:szCs w:val="19"/>
                <w:lang w:val="de-DE" w:eastAsia="de-DE"/>
              </w:rPr>
            </w:pPr>
            <w:r w:rsidRPr="000555D8">
              <w:rPr>
                <w:rFonts w:eastAsia="Times New Roman" w:cs="Arial"/>
                <w:szCs w:val="19"/>
                <w:lang w:val="de-DE" w:eastAsia="de-DE"/>
              </w:rPr>
              <w:t>Eastern Europe</w:t>
            </w:r>
          </w:p>
        </w:tc>
        <w:tc>
          <w:tcPr>
            <w:tcW w:w="1815" w:type="dxa"/>
            <w:shd w:val="clear" w:color="auto" w:fill="D6D1C0" w:themeFill="background1"/>
            <w:noWrap/>
            <w:vAlign w:val="bottom"/>
          </w:tcPr>
          <w:p w14:paraId="1100FB35" w14:textId="70CA689A" w:rsidR="004776E5" w:rsidRPr="000555D8" w:rsidRDefault="004776E5" w:rsidP="004776E5">
            <w:pPr>
              <w:spacing w:line="240" w:lineRule="auto"/>
              <w:jc w:val="right"/>
              <w:rPr>
                <w:rFonts w:eastAsia="Times New Roman" w:cs="Arial"/>
                <w:szCs w:val="19"/>
                <w:lang w:val="de-DE" w:eastAsia="de-DE"/>
              </w:rPr>
            </w:pPr>
            <w:r w:rsidRPr="000555D8">
              <w:rPr>
                <w:rFonts w:eastAsia="Times New Roman" w:cs="Arial"/>
                <w:szCs w:val="19"/>
                <w:lang w:val="de-DE" w:eastAsia="de-DE"/>
              </w:rPr>
              <w:t>19.759</w:t>
            </w:r>
          </w:p>
        </w:tc>
        <w:tc>
          <w:tcPr>
            <w:tcW w:w="1815" w:type="dxa"/>
            <w:shd w:val="clear" w:color="auto" w:fill="D6D1C0" w:themeFill="background1"/>
            <w:noWrap/>
            <w:vAlign w:val="bottom"/>
            <w:hideMark/>
          </w:tcPr>
          <w:p w14:paraId="6DB1CF28" w14:textId="01A6CEB5" w:rsidR="004776E5" w:rsidRPr="000555D8" w:rsidRDefault="004776E5" w:rsidP="004776E5">
            <w:pPr>
              <w:spacing w:line="240" w:lineRule="auto"/>
              <w:jc w:val="right"/>
              <w:rPr>
                <w:rFonts w:eastAsia="Times New Roman" w:cs="Arial"/>
                <w:szCs w:val="19"/>
                <w:lang w:val="de-DE" w:eastAsia="de-DE"/>
              </w:rPr>
            </w:pPr>
            <w:r w:rsidRPr="000555D8">
              <w:rPr>
                <w:rFonts w:eastAsia="Times New Roman" w:cs="Arial"/>
                <w:szCs w:val="19"/>
                <w:lang w:val="de-DE" w:eastAsia="de-DE"/>
              </w:rPr>
              <w:t>19.649</w:t>
            </w:r>
          </w:p>
        </w:tc>
      </w:tr>
      <w:tr w:rsidR="004776E5" w:rsidRPr="004776E5" w14:paraId="2982AC0A" w14:textId="77777777" w:rsidTr="000555D8">
        <w:trPr>
          <w:trHeight w:val="240"/>
        </w:trPr>
        <w:tc>
          <w:tcPr>
            <w:tcW w:w="3825" w:type="dxa"/>
            <w:shd w:val="clear" w:color="auto" w:fill="D6D1C0" w:themeFill="background1"/>
            <w:noWrap/>
            <w:vAlign w:val="bottom"/>
            <w:hideMark/>
          </w:tcPr>
          <w:p w14:paraId="18829E72" w14:textId="77777777" w:rsidR="004776E5" w:rsidRPr="000555D8" w:rsidRDefault="004776E5" w:rsidP="004776E5">
            <w:pPr>
              <w:spacing w:line="240" w:lineRule="auto"/>
              <w:jc w:val="left"/>
              <w:rPr>
                <w:rFonts w:eastAsia="Times New Roman" w:cs="Arial"/>
                <w:szCs w:val="19"/>
                <w:lang w:val="de-DE" w:eastAsia="de-DE"/>
              </w:rPr>
            </w:pPr>
            <w:r w:rsidRPr="000555D8">
              <w:rPr>
                <w:rFonts w:eastAsia="Times New Roman" w:cs="Arial"/>
                <w:szCs w:val="19"/>
                <w:lang w:val="de-DE" w:eastAsia="de-DE"/>
              </w:rPr>
              <w:t>Americas</w:t>
            </w:r>
          </w:p>
        </w:tc>
        <w:tc>
          <w:tcPr>
            <w:tcW w:w="1815" w:type="dxa"/>
            <w:shd w:val="clear" w:color="auto" w:fill="D6D1C0" w:themeFill="background1"/>
            <w:noWrap/>
            <w:vAlign w:val="bottom"/>
          </w:tcPr>
          <w:p w14:paraId="660539C1" w14:textId="07C09220" w:rsidR="004776E5" w:rsidRPr="000555D8" w:rsidRDefault="004776E5" w:rsidP="004776E5">
            <w:pPr>
              <w:spacing w:line="240" w:lineRule="auto"/>
              <w:jc w:val="right"/>
              <w:rPr>
                <w:rFonts w:eastAsia="Times New Roman" w:cs="Arial"/>
                <w:szCs w:val="19"/>
                <w:lang w:val="de-DE" w:eastAsia="de-DE"/>
              </w:rPr>
            </w:pPr>
            <w:r w:rsidRPr="000555D8">
              <w:rPr>
                <w:rFonts w:eastAsia="Times New Roman" w:cs="Arial"/>
                <w:szCs w:val="19"/>
                <w:lang w:val="de-DE" w:eastAsia="de-DE"/>
              </w:rPr>
              <w:t>167.516</w:t>
            </w:r>
          </w:p>
        </w:tc>
        <w:tc>
          <w:tcPr>
            <w:tcW w:w="1815" w:type="dxa"/>
            <w:shd w:val="clear" w:color="auto" w:fill="D6D1C0" w:themeFill="background1"/>
            <w:noWrap/>
            <w:vAlign w:val="bottom"/>
            <w:hideMark/>
          </w:tcPr>
          <w:p w14:paraId="71857FBF" w14:textId="04B69C14" w:rsidR="004776E5" w:rsidRPr="000555D8" w:rsidRDefault="004776E5" w:rsidP="004776E5">
            <w:pPr>
              <w:spacing w:line="240" w:lineRule="auto"/>
              <w:jc w:val="right"/>
              <w:rPr>
                <w:rFonts w:eastAsia="Times New Roman" w:cs="Arial"/>
                <w:szCs w:val="19"/>
                <w:lang w:val="de-DE" w:eastAsia="de-DE"/>
              </w:rPr>
            </w:pPr>
            <w:r w:rsidRPr="000555D8">
              <w:rPr>
                <w:rFonts w:eastAsia="Times New Roman" w:cs="Arial"/>
                <w:szCs w:val="19"/>
                <w:lang w:val="de-DE" w:eastAsia="de-DE"/>
              </w:rPr>
              <w:t>142.515</w:t>
            </w:r>
          </w:p>
        </w:tc>
      </w:tr>
      <w:tr w:rsidR="004776E5" w:rsidRPr="004776E5" w14:paraId="223B5364" w14:textId="77777777" w:rsidTr="000555D8">
        <w:trPr>
          <w:trHeight w:val="240"/>
        </w:trPr>
        <w:tc>
          <w:tcPr>
            <w:tcW w:w="3825" w:type="dxa"/>
            <w:shd w:val="clear" w:color="auto" w:fill="D6D1C0" w:themeFill="background1"/>
            <w:noWrap/>
            <w:vAlign w:val="bottom"/>
          </w:tcPr>
          <w:p w14:paraId="150EB39B" w14:textId="686AA754" w:rsidR="004776E5" w:rsidRPr="000555D8" w:rsidRDefault="004776E5" w:rsidP="004776E5">
            <w:pPr>
              <w:spacing w:line="240" w:lineRule="auto"/>
              <w:jc w:val="left"/>
              <w:rPr>
                <w:rFonts w:eastAsia="Times New Roman" w:cs="Arial"/>
                <w:szCs w:val="19"/>
                <w:lang w:val="de-DE" w:eastAsia="de-DE"/>
              </w:rPr>
            </w:pPr>
            <w:r w:rsidRPr="000555D8">
              <w:rPr>
                <w:rFonts w:eastAsia="Times New Roman" w:cs="Arial"/>
                <w:szCs w:val="19"/>
                <w:lang w:val="de-DE" w:eastAsia="de-DE"/>
              </w:rPr>
              <w:t>Northern Europe</w:t>
            </w:r>
          </w:p>
        </w:tc>
        <w:tc>
          <w:tcPr>
            <w:tcW w:w="1815" w:type="dxa"/>
            <w:shd w:val="clear" w:color="auto" w:fill="D6D1C0" w:themeFill="background1"/>
            <w:noWrap/>
            <w:vAlign w:val="bottom"/>
          </w:tcPr>
          <w:p w14:paraId="700D0F15" w14:textId="2DD5094E" w:rsidR="004776E5" w:rsidRPr="000555D8" w:rsidRDefault="004776E5" w:rsidP="004776E5">
            <w:pPr>
              <w:spacing w:line="240" w:lineRule="auto"/>
              <w:jc w:val="right"/>
              <w:rPr>
                <w:rFonts w:eastAsia="Times New Roman" w:cs="Arial"/>
                <w:szCs w:val="19"/>
                <w:lang w:val="de-DE" w:eastAsia="de-DE"/>
              </w:rPr>
            </w:pPr>
            <w:r w:rsidRPr="000555D8">
              <w:rPr>
                <w:rFonts w:eastAsia="Times New Roman" w:cs="Arial"/>
                <w:szCs w:val="19"/>
                <w:lang w:val="de-DE" w:eastAsia="de-DE"/>
              </w:rPr>
              <w:t>38.905</w:t>
            </w:r>
          </w:p>
        </w:tc>
        <w:tc>
          <w:tcPr>
            <w:tcW w:w="1815" w:type="dxa"/>
            <w:shd w:val="clear" w:color="auto" w:fill="D6D1C0" w:themeFill="background1"/>
            <w:noWrap/>
            <w:vAlign w:val="bottom"/>
          </w:tcPr>
          <w:p w14:paraId="4008874C" w14:textId="2C3477F0" w:rsidR="004776E5" w:rsidRPr="000555D8" w:rsidRDefault="004776E5" w:rsidP="004776E5">
            <w:pPr>
              <w:spacing w:line="240" w:lineRule="auto"/>
              <w:jc w:val="right"/>
              <w:rPr>
                <w:rFonts w:eastAsia="Times New Roman" w:cs="Arial"/>
                <w:szCs w:val="19"/>
                <w:lang w:val="de-DE" w:eastAsia="de-DE"/>
              </w:rPr>
            </w:pPr>
            <w:r w:rsidRPr="000555D8">
              <w:rPr>
                <w:rFonts w:eastAsia="Times New Roman" w:cs="Arial"/>
                <w:szCs w:val="19"/>
                <w:lang w:val="de-DE" w:eastAsia="de-DE"/>
              </w:rPr>
              <w:t>40.588</w:t>
            </w:r>
          </w:p>
        </w:tc>
      </w:tr>
      <w:tr w:rsidR="004776E5" w:rsidRPr="004776E5" w14:paraId="7C6A6B3A" w14:textId="77777777" w:rsidTr="000555D8">
        <w:trPr>
          <w:trHeight w:val="240"/>
        </w:trPr>
        <w:tc>
          <w:tcPr>
            <w:tcW w:w="3825" w:type="dxa"/>
            <w:shd w:val="clear" w:color="auto" w:fill="D6D1C0" w:themeFill="background1"/>
            <w:noWrap/>
            <w:vAlign w:val="bottom"/>
            <w:hideMark/>
          </w:tcPr>
          <w:p w14:paraId="52EEA3CF" w14:textId="77777777" w:rsidR="004776E5" w:rsidRPr="000555D8" w:rsidRDefault="004776E5" w:rsidP="004776E5">
            <w:pPr>
              <w:spacing w:line="240" w:lineRule="auto"/>
              <w:jc w:val="left"/>
              <w:rPr>
                <w:rFonts w:eastAsia="Times New Roman" w:cs="Arial"/>
                <w:szCs w:val="19"/>
                <w:lang w:val="de-DE" w:eastAsia="de-DE"/>
              </w:rPr>
            </w:pPr>
            <w:r w:rsidRPr="000555D8">
              <w:rPr>
                <w:rFonts w:eastAsia="Times New Roman" w:cs="Arial"/>
                <w:szCs w:val="19"/>
                <w:lang w:val="de-DE" w:eastAsia="de-DE"/>
              </w:rPr>
              <w:t>International</w:t>
            </w:r>
          </w:p>
        </w:tc>
        <w:tc>
          <w:tcPr>
            <w:tcW w:w="1815" w:type="dxa"/>
            <w:shd w:val="clear" w:color="auto" w:fill="D6D1C0" w:themeFill="background1"/>
            <w:noWrap/>
            <w:vAlign w:val="bottom"/>
          </w:tcPr>
          <w:p w14:paraId="280F2207" w14:textId="3811C32A" w:rsidR="004776E5" w:rsidRPr="000555D8" w:rsidRDefault="004776E5" w:rsidP="004776E5">
            <w:pPr>
              <w:spacing w:line="240" w:lineRule="auto"/>
              <w:jc w:val="right"/>
              <w:rPr>
                <w:rFonts w:eastAsia="Times New Roman" w:cs="Arial"/>
                <w:szCs w:val="19"/>
                <w:lang w:val="de-DE" w:eastAsia="de-DE"/>
              </w:rPr>
            </w:pPr>
            <w:r w:rsidRPr="000555D8">
              <w:rPr>
                <w:rFonts w:eastAsia="Times New Roman" w:cs="Arial"/>
                <w:szCs w:val="19"/>
                <w:lang w:val="de-DE" w:eastAsia="de-DE"/>
              </w:rPr>
              <w:t>606.257</w:t>
            </w:r>
          </w:p>
        </w:tc>
        <w:tc>
          <w:tcPr>
            <w:tcW w:w="1815" w:type="dxa"/>
            <w:shd w:val="clear" w:color="auto" w:fill="D6D1C0" w:themeFill="background1"/>
            <w:noWrap/>
            <w:vAlign w:val="bottom"/>
            <w:hideMark/>
          </w:tcPr>
          <w:p w14:paraId="67993A9C" w14:textId="3E20F05D" w:rsidR="004776E5" w:rsidRPr="000555D8" w:rsidRDefault="004776E5" w:rsidP="004776E5">
            <w:pPr>
              <w:spacing w:line="240" w:lineRule="auto"/>
              <w:jc w:val="right"/>
              <w:rPr>
                <w:rFonts w:eastAsia="Times New Roman" w:cs="Arial"/>
                <w:szCs w:val="19"/>
                <w:lang w:val="de-DE" w:eastAsia="de-DE"/>
              </w:rPr>
            </w:pPr>
            <w:r w:rsidRPr="000555D8">
              <w:rPr>
                <w:rFonts w:eastAsia="Times New Roman" w:cs="Arial"/>
                <w:szCs w:val="19"/>
                <w:lang w:val="de-DE" w:eastAsia="de-DE"/>
              </w:rPr>
              <w:t>556.741</w:t>
            </w:r>
          </w:p>
        </w:tc>
      </w:tr>
      <w:tr w:rsidR="004776E5" w:rsidRPr="004776E5" w14:paraId="2F5E67F0" w14:textId="77777777" w:rsidTr="000555D8">
        <w:trPr>
          <w:trHeight w:val="240"/>
        </w:trPr>
        <w:tc>
          <w:tcPr>
            <w:tcW w:w="3825" w:type="dxa"/>
            <w:shd w:val="clear" w:color="auto" w:fill="auto"/>
            <w:noWrap/>
            <w:vAlign w:val="bottom"/>
            <w:hideMark/>
          </w:tcPr>
          <w:p w14:paraId="19A09A3E" w14:textId="77777777" w:rsidR="004776E5" w:rsidRPr="004776E5" w:rsidRDefault="004776E5" w:rsidP="004776E5">
            <w:pPr>
              <w:spacing w:line="240" w:lineRule="auto"/>
              <w:jc w:val="left"/>
              <w:rPr>
                <w:rFonts w:eastAsia="Times New Roman" w:cs="Arial"/>
                <w:szCs w:val="19"/>
                <w:lang w:val="de-DE" w:eastAsia="de-DE"/>
              </w:rPr>
            </w:pPr>
            <w:r w:rsidRPr="004776E5">
              <w:rPr>
                <w:rFonts w:eastAsia="Times New Roman" w:cs="Arial"/>
                <w:szCs w:val="19"/>
                <w:lang w:val="de-DE" w:eastAsia="de-DE"/>
              </w:rPr>
              <w:t>Neuinvestitionsvolumen mit Neukunden</w:t>
            </w:r>
          </w:p>
        </w:tc>
        <w:tc>
          <w:tcPr>
            <w:tcW w:w="1815" w:type="dxa"/>
            <w:shd w:val="clear" w:color="auto" w:fill="auto"/>
            <w:noWrap/>
            <w:vAlign w:val="bottom"/>
          </w:tcPr>
          <w:p w14:paraId="4149EDE7" w14:textId="394BF096" w:rsidR="004776E5" w:rsidRPr="004776E5" w:rsidRDefault="004776E5" w:rsidP="004776E5">
            <w:pPr>
              <w:spacing w:line="240" w:lineRule="auto"/>
              <w:jc w:val="right"/>
              <w:rPr>
                <w:rFonts w:eastAsia="Times New Roman" w:cs="Arial"/>
                <w:szCs w:val="19"/>
                <w:lang w:val="de-DE" w:eastAsia="de-DE"/>
              </w:rPr>
            </w:pPr>
            <w:r w:rsidRPr="004776E5">
              <w:rPr>
                <w:rFonts w:eastAsia="Times New Roman" w:cs="Arial"/>
                <w:szCs w:val="19"/>
                <w:lang w:val="de-DE" w:eastAsia="de-DE"/>
              </w:rPr>
              <w:t>287.751</w:t>
            </w:r>
          </w:p>
        </w:tc>
        <w:tc>
          <w:tcPr>
            <w:tcW w:w="1815" w:type="dxa"/>
            <w:shd w:val="clear" w:color="auto" w:fill="auto"/>
            <w:noWrap/>
            <w:vAlign w:val="bottom"/>
            <w:hideMark/>
          </w:tcPr>
          <w:p w14:paraId="4C38854B" w14:textId="181B3148" w:rsidR="004776E5" w:rsidRPr="004776E5" w:rsidRDefault="004776E5" w:rsidP="004776E5">
            <w:pPr>
              <w:spacing w:line="240" w:lineRule="auto"/>
              <w:jc w:val="right"/>
              <w:rPr>
                <w:rFonts w:eastAsia="Times New Roman" w:cs="Arial"/>
                <w:szCs w:val="19"/>
                <w:lang w:val="de-DE" w:eastAsia="de-DE"/>
              </w:rPr>
            </w:pPr>
            <w:r w:rsidRPr="004776E5">
              <w:rPr>
                <w:rFonts w:eastAsia="Times New Roman" w:cs="Arial"/>
                <w:szCs w:val="19"/>
                <w:lang w:val="de-DE" w:eastAsia="de-DE"/>
              </w:rPr>
              <w:t>279.644</w:t>
            </w:r>
          </w:p>
        </w:tc>
      </w:tr>
      <w:tr w:rsidR="004776E5" w:rsidRPr="004776E5" w14:paraId="58C67412" w14:textId="77777777" w:rsidTr="00354E49">
        <w:trPr>
          <w:trHeight w:val="240"/>
        </w:trPr>
        <w:tc>
          <w:tcPr>
            <w:tcW w:w="3825" w:type="dxa"/>
            <w:noWrap/>
            <w:vAlign w:val="bottom"/>
            <w:hideMark/>
          </w:tcPr>
          <w:p w14:paraId="53C625EC" w14:textId="291CA466" w:rsidR="004776E5" w:rsidRPr="004776E5" w:rsidRDefault="004776E5" w:rsidP="004776E5">
            <w:pPr>
              <w:spacing w:line="240" w:lineRule="auto"/>
              <w:jc w:val="left"/>
              <w:rPr>
                <w:rFonts w:eastAsia="Times New Roman" w:cs="Arial"/>
                <w:szCs w:val="19"/>
                <w:lang w:val="de-DE" w:eastAsia="de-DE"/>
              </w:rPr>
            </w:pPr>
            <w:r w:rsidRPr="004776E5">
              <w:rPr>
                <w:rFonts w:eastAsia="Times New Roman" w:cs="Arial"/>
                <w:szCs w:val="19"/>
                <w:lang w:val="de-DE" w:eastAsia="de-DE"/>
              </w:rPr>
              <w:t>Deckungsbeitrag</w:t>
            </w:r>
            <w:r w:rsidR="000555D8">
              <w:rPr>
                <w:rFonts w:eastAsia="Times New Roman" w:cs="Arial"/>
                <w:szCs w:val="19"/>
                <w:lang w:val="de-DE" w:eastAsia="de-DE"/>
              </w:rPr>
              <w:t>*</w:t>
            </w:r>
            <w:r w:rsidRPr="004776E5">
              <w:rPr>
                <w:rFonts w:eastAsia="Times New Roman" w:cs="Arial"/>
                <w:szCs w:val="19"/>
                <w:lang w:val="de-DE" w:eastAsia="de-DE"/>
              </w:rPr>
              <w:t xml:space="preserve"> Gruppe</w:t>
            </w:r>
          </w:p>
        </w:tc>
        <w:tc>
          <w:tcPr>
            <w:tcW w:w="1815" w:type="dxa"/>
            <w:noWrap/>
            <w:vAlign w:val="bottom"/>
          </w:tcPr>
          <w:p w14:paraId="73A9B05D" w14:textId="200C4726" w:rsidR="004776E5" w:rsidRPr="004776E5" w:rsidRDefault="004776E5" w:rsidP="004776E5">
            <w:pPr>
              <w:spacing w:line="240" w:lineRule="auto"/>
              <w:jc w:val="right"/>
              <w:rPr>
                <w:rFonts w:eastAsia="Times New Roman" w:cs="Arial"/>
                <w:szCs w:val="19"/>
                <w:lang w:val="de-DE" w:eastAsia="de-DE"/>
              </w:rPr>
            </w:pPr>
            <w:r w:rsidRPr="004776E5">
              <w:rPr>
                <w:rFonts w:eastAsia="Times New Roman" w:cs="Arial"/>
                <w:szCs w:val="19"/>
                <w:lang w:val="de-DE" w:eastAsia="de-DE"/>
              </w:rPr>
              <w:t>190.090</w:t>
            </w:r>
          </w:p>
        </w:tc>
        <w:tc>
          <w:tcPr>
            <w:tcW w:w="1815" w:type="dxa"/>
            <w:noWrap/>
            <w:vAlign w:val="bottom"/>
            <w:hideMark/>
          </w:tcPr>
          <w:p w14:paraId="4FDFD3A0" w14:textId="7F51B40E" w:rsidR="004776E5" w:rsidRPr="004776E5" w:rsidRDefault="004776E5" w:rsidP="004776E5">
            <w:pPr>
              <w:spacing w:line="240" w:lineRule="auto"/>
              <w:jc w:val="right"/>
              <w:rPr>
                <w:rFonts w:eastAsia="Times New Roman" w:cs="Arial"/>
                <w:szCs w:val="19"/>
                <w:lang w:val="de-DE" w:eastAsia="de-DE"/>
              </w:rPr>
            </w:pPr>
            <w:r w:rsidRPr="004776E5">
              <w:rPr>
                <w:rFonts w:eastAsia="Times New Roman" w:cs="Arial"/>
                <w:szCs w:val="19"/>
                <w:lang w:val="de-DE" w:eastAsia="de-DE"/>
              </w:rPr>
              <w:t>183.059</w:t>
            </w:r>
          </w:p>
        </w:tc>
      </w:tr>
    </w:tbl>
    <w:p w14:paraId="026E65DF" w14:textId="20DB2213" w:rsidR="00354E49" w:rsidRPr="004776E5" w:rsidRDefault="00354E49" w:rsidP="00354E49">
      <w:pPr>
        <w:jc w:val="left"/>
        <w:rPr>
          <w:sz w:val="10"/>
          <w:szCs w:val="10"/>
          <w:lang w:val="de-DE"/>
        </w:rPr>
      </w:pPr>
      <w:r w:rsidRPr="004776E5">
        <w:rPr>
          <w:sz w:val="10"/>
          <w:szCs w:val="10"/>
          <w:lang w:val="de-DE"/>
        </w:rPr>
        <w:t xml:space="preserve">* </w:t>
      </w:r>
      <w:r w:rsidR="000555D8">
        <w:rPr>
          <w:sz w:val="10"/>
          <w:szCs w:val="10"/>
          <w:lang w:val="de-DE"/>
        </w:rPr>
        <w:t xml:space="preserve">Deckungsbeitrag: </w:t>
      </w:r>
      <w:r w:rsidR="004776E5" w:rsidRPr="004776E5">
        <w:rPr>
          <w:sz w:val="10"/>
          <w:szCs w:val="10"/>
          <w:lang w:val="de-DE"/>
        </w:rPr>
        <w:t>Der Überschuss der verbarwerteten Mietraten über die Anschaffungskosten der jeweiligen Verträge.</w:t>
      </w:r>
    </w:p>
    <w:p w14:paraId="6046C7C5" w14:textId="77777777" w:rsidR="00354E49" w:rsidRPr="002E23B1" w:rsidRDefault="00354E49" w:rsidP="00354E49">
      <w:pPr>
        <w:spacing w:line="240" w:lineRule="auto"/>
        <w:rPr>
          <w:rFonts w:cs="Arial"/>
          <w:b/>
          <w:noProof/>
          <w:sz w:val="14"/>
          <w:szCs w:val="14"/>
          <w:lang w:val="de-DE"/>
        </w:rPr>
      </w:pPr>
    </w:p>
    <w:p w14:paraId="166AAD68" w14:textId="77777777" w:rsidR="00354E49" w:rsidRDefault="00354E49" w:rsidP="00354E49">
      <w:pPr>
        <w:pStyle w:val="AufzhlungspunkteCHG-MERIDIAN"/>
        <w:numPr>
          <w:ilvl w:val="0"/>
          <w:numId w:val="0"/>
        </w:numPr>
        <w:spacing w:line="360" w:lineRule="auto"/>
        <w:ind w:right="-1"/>
        <w:jc w:val="both"/>
        <w:rPr>
          <w:szCs w:val="19"/>
        </w:rPr>
      </w:pPr>
    </w:p>
    <w:p w14:paraId="2E239F1E" w14:textId="77777777" w:rsidR="000728EF" w:rsidRDefault="000728EF" w:rsidP="00F649D6">
      <w:pPr>
        <w:pStyle w:val="AufzhlungspunkteCHG-MERIDIAN"/>
        <w:numPr>
          <w:ilvl w:val="0"/>
          <w:numId w:val="0"/>
        </w:numPr>
        <w:spacing w:line="360" w:lineRule="auto"/>
        <w:jc w:val="both"/>
        <w:rPr>
          <w:szCs w:val="19"/>
        </w:rPr>
      </w:pPr>
    </w:p>
    <w:p w14:paraId="279C173E" w14:textId="77777777" w:rsidR="000728EF" w:rsidRDefault="000728EF" w:rsidP="00F649D6">
      <w:pPr>
        <w:pStyle w:val="AufzhlungspunkteCHG-MERIDIAN"/>
        <w:numPr>
          <w:ilvl w:val="0"/>
          <w:numId w:val="0"/>
        </w:numPr>
        <w:spacing w:line="360" w:lineRule="auto"/>
        <w:jc w:val="both"/>
        <w:rPr>
          <w:szCs w:val="19"/>
        </w:rPr>
      </w:pPr>
    </w:p>
    <w:p w14:paraId="2A347B18" w14:textId="77777777" w:rsidR="000728EF" w:rsidRPr="00F649D6" w:rsidRDefault="000728EF" w:rsidP="00F649D6">
      <w:pPr>
        <w:pStyle w:val="AufzhlungspunkteCHG-MERIDIAN"/>
        <w:numPr>
          <w:ilvl w:val="0"/>
          <w:numId w:val="0"/>
        </w:numPr>
        <w:spacing w:line="360" w:lineRule="auto"/>
        <w:jc w:val="both"/>
        <w:rPr>
          <w:szCs w:val="19"/>
        </w:rPr>
      </w:pPr>
    </w:p>
    <w:p w14:paraId="3A630BD4" w14:textId="77777777" w:rsidR="00127901" w:rsidRDefault="00127901" w:rsidP="00F649D6">
      <w:pPr>
        <w:pStyle w:val="AufzhlungspunkteCHG-MERIDIAN"/>
        <w:numPr>
          <w:ilvl w:val="0"/>
          <w:numId w:val="0"/>
        </w:numPr>
        <w:spacing w:line="360" w:lineRule="auto"/>
        <w:jc w:val="both"/>
        <w:rPr>
          <w:szCs w:val="19"/>
        </w:rPr>
      </w:pPr>
    </w:p>
    <w:p w14:paraId="04C9A221" w14:textId="77777777" w:rsidR="0065673F" w:rsidRDefault="0065673F" w:rsidP="00F649D6">
      <w:pPr>
        <w:pStyle w:val="AufzhlungspunkteCHG-MERIDIAN"/>
        <w:numPr>
          <w:ilvl w:val="0"/>
          <w:numId w:val="0"/>
        </w:numPr>
        <w:spacing w:line="360" w:lineRule="auto"/>
        <w:jc w:val="both"/>
        <w:rPr>
          <w:szCs w:val="19"/>
        </w:rPr>
      </w:pPr>
    </w:p>
    <w:p w14:paraId="465D84DC" w14:textId="77777777" w:rsidR="0065673F" w:rsidRDefault="0065673F" w:rsidP="00F649D6">
      <w:pPr>
        <w:pStyle w:val="AufzhlungspunkteCHG-MERIDIAN"/>
        <w:numPr>
          <w:ilvl w:val="0"/>
          <w:numId w:val="0"/>
        </w:numPr>
        <w:spacing w:line="360" w:lineRule="auto"/>
        <w:jc w:val="both"/>
        <w:rPr>
          <w:szCs w:val="19"/>
        </w:rPr>
      </w:pPr>
    </w:p>
    <w:p w14:paraId="0CBEC098" w14:textId="77777777" w:rsidR="0065673F" w:rsidRDefault="0065673F" w:rsidP="00F649D6">
      <w:pPr>
        <w:pStyle w:val="AufzhlungspunkteCHG-MERIDIAN"/>
        <w:numPr>
          <w:ilvl w:val="0"/>
          <w:numId w:val="0"/>
        </w:numPr>
        <w:spacing w:line="360" w:lineRule="auto"/>
        <w:jc w:val="both"/>
        <w:rPr>
          <w:szCs w:val="19"/>
        </w:rPr>
      </w:pPr>
    </w:p>
    <w:p w14:paraId="0CEF4470" w14:textId="77777777" w:rsidR="0065673F" w:rsidRDefault="0065673F" w:rsidP="00F649D6">
      <w:pPr>
        <w:pStyle w:val="AufzhlungspunkteCHG-MERIDIAN"/>
        <w:numPr>
          <w:ilvl w:val="0"/>
          <w:numId w:val="0"/>
        </w:numPr>
        <w:spacing w:line="360" w:lineRule="auto"/>
        <w:jc w:val="both"/>
        <w:rPr>
          <w:szCs w:val="19"/>
        </w:rPr>
      </w:pPr>
    </w:p>
    <w:p w14:paraId="6228DF83" w14:textId="77777777" w:rsidR="00815256" w:rsidRDefault="00815256" w:rsidP="00F649D6">
      <w:pPr>
        <w:pStyle w:val="AufzhlungspunkteCHG-MERIDIAN"/>
        <w:numPr>
          <w:ilvl w:val="0"/>
          <w:numId w:val="0"/>
        </w:numPr>
        <w:spacing w:line="360" w:lineRule="auto"/>
        <w:jc w:val="both"/>
        <w:rPr>
          <w:szCs w:val="19"/>
        </w:rPr>
      </w:pPr>
    </w:p>
    <w:p w14:paraId="55138552" w14:textId="77777777" w:rsidR="00815256" w:rsidRDefault="00815256" w:rsidP="00F649D6">
      <w:pPr>
        <w:pStyle w:val="AufzhlungspunkteCHG-MERIDIAN"/>
        <w:numPr>
          <w:ilvl w:val="0"/>
          <w:numId w:val="0"/>
        </w:numPr>
        <w:spacing w:line="360" w:lineRule="auto"/>
        <w:jc w:val="both"/>
        <w:rPr>
          <w:szCs w:val="19"/>
        </w:rPr>
      </w:pPr>
    </w:p>
    <w:p w14:paraId="68EE87BC" w14:textId="6F630676" w:rsidR="00815256" w:rsidRDefault="00815256" w:rsidP="00F649D6">
      <w:pPr>
        <w:pStyle w:val="AufzhlungspunkteCHG-MERIDIAN"/>
        <w:numPr>
          <w:ilvl w:val="0"/>
          <w:numId w:val="0"/>
        </w:numPr>
        <w:spacing w:line="360" w:lineRule="auto"/>
        <w:jc w:val="both"/>
        <w:rPr>
          <w:szCs w:val="19"/>
        </w:rPr>
      </w:pPr>
    </w:p>
    <w:p w14:paraId="44FBC17F" w14:textId="58E293CE" w:rsidR="00E04E02" w:rsidRDefault="00E04E02" w:rsidP="00F649D6">
      <w:pPr>
        <w:pStyle w:val="AufzhlungspunkteCHG-MERIDIAN"/>
        <w:numPr>
          <w:ilvl w:val="0"/>
          <w:numId w:val="0"/>
        </w:numPr>
        <w:spacing w:line="360" w:lineRule="auto"/>
        <w:jc w:val="both"/>
        <w:rPr>
          <w:szCs w:val="19"/>
        </w:rPr>
      </w:pPr>
    </w:p>
    <w:p w14:paraId="074D1FAE" w14:textId="7EE0A970" w:rsidR="00E04E02" w:rsidRDefault="00E04E02" w:rsidP="00F649D6">
      <w:pPr>
        <w:pStyle w:val="AufzhlungspunkteCHG-MERIDIAN"/>
        <w:numPr>
          <w:ilvl w:val="0"/>
          <w:numId w:val="0"/>
        </w:numPr>
        <w:spacing w:line="360" w:lineRule="auto"/>
        <w:jc w:val="both"/>
        <w:rPr>
          <w:szCs w:val="19"/>
        </w:rPr>
      </w:pPr>
    </w:p>
    <w:p w14:paraId="0BD13AC8" w14:textId="35F07CD7" w:rsidR="00E04E02" w:rsidRDefault="00E04E02" w:rsidP="00F649D6">
      <w:pPr>
        <w:pStyle w:val="AufzhlungspunkteCHG-MERIDIAN"/>
        <w:numPr>
          <w:ilvl w:val="0"/>
          <w:numId w:val="0"/>
        </w:numPr>
        <w:spacing w:line="360" w:lineRule="auto"/>
        <w:jc w:val="both"/>
        <w:rPr>
          <w:szCs w:val="19"/>
        </w:rPr>
      </w:pPr>
    </w:p>
    <w:p w14:paraId="65F20272" w14:textId="22C7CDE7" w:rsidR="00E04E02" w:rsidRDefault="00E04E02" w:rsidP="00F649D6">
      <w:pPr>
        <w:pStyle w:val="AufzhlungspunkteCHG-MERIDIAN"/>
        <w:numPr>
          <w:ilvl w:val="0"/>
          <w:numId w:val="0"/>
        </w:numPr>
        <w:spacing w:line="360" w:lineRule="auto"/>
        <w:jc w:val="both"/>
        <w:rPr>
          <w:szCs w:val="19"/>
        </w:rPr>
      </w:pPr>
    </w:p>
    <w:p w14:paraId="6632EE82" w14:textId="5DC00624" w:rsidR="00E04E02" w:rsidRDefault="00E04E02" w:rsidP="00F649D6">
      <w:pPr>
        <w:pStyle w:val="AufzhlungspunkteCHG-MERIDIAN"/>
        <w:numPr>
          <w:ilvl w:val="0"/>
          <w:numId w:val="0"/>
        </w:numPr>
        <w:spacing w:line="360" w:lineRule="auto"/>
        <w:jc w:val="both"/>
        <w:rPr>
          <w:szCs w:val="19"/>
        </w:rPr>
      </w:pPr>
    </w:p>
    <w:p w14:paraId="2AB872EA" w14:textId="77777777" w:rsidR="00E04E02" w:rsidRDefault="00E04E02" w:rsidP="00F649D6">
      <w:pPr>
        <w:pStyle w:val="AufzhlungspunkteCHG-MERIDIAN"/>
        <w:numPr>
          <w:ilvl w:val="0"/>
          <w:numId w:val="0"/>
        </w:numPr>
        <w:spacing w:line="360" w:lineRule="auto"/>
        <w:jc w:val="both"/>
        <w:rPr>
          <w:szCs w:val="19"/>
        </w:rPr>
      </w:pPr>
    </w:p>
    <w:p w14:paraId="21DA152F" w14:textId="77777777" w:rsidR="00815256" w:rsidRDefault="00815256" w:rsidP="00F649D6">
      <w:pPr>
        <w:pStyle w:val="AufzhlungspunkteCHG-MERIDIAN"/>
        <w:numPr>
          <w:ilvl w:val="0"/>
          <w:numId w:val="0"/>
        </w:numPr>
        <w:spacing w:line="360" w:lineRule="auto"/>
        <w:jc w:val="both"/>
        <w:rPr>
          <w:szCs w:val="19"/>
        </w:rPr>
      </w:pPr>
    </w:p>
    <w:p w14:paraId="05906960" w14:textId="77777777" w:rsidR="00B53C84" w:rsidRDefault="00B53C84" w:rsidP="00F649D6">
      <w:pPr>
        <w:pStyle w:val="AufzhlungspunkteCHG-MERIDIAN"/>
        <w:numPr>
          <w:ilvl w:val="0"/>
          <w:numId w:val="0"/>
        </w:numPr>
        <w:spacing w:line="360" w:lineRule="auto"/>
        <w:jc w:val="both"/>
        <w:rPr>
          <w:szCs w:val="19"/>
        </w:rPr>
      </w:pPr>
    </w:p>
    <w:p w14:paraId="10273822" w14:textId="77777777" w:rsidR="00B53C84" w:rsidRDefault="00B53C84" w:rsidP="00F649D6">
      <w:pPr>
        <w:pStyle w:val="AufzhlungspunkteCHG-MERIDIAN"/>
        <w:numPr>
          <w:ilvl w:val="0"/>
          <w:numId w:val="0"/>
        </w:numPr>
        <w:spacing w:line="360" w:lineRule="auto"/>
        <w:jc w:val="both"/>
        <w:rPr>
          <w:szCs w:val="19"/>
        </w:rPr>
      </w:pPr>
    </w:p>
    <w:p w14:paraId="4BA122EE" w14:textId="77777777" w:rsidR="00B53C84" w:rsidRDefault="00B53C84" w:rsidP="00F649D6">
      <w:pPr>
        <w:pStyle w:val="AufzhlungspunkteCHG-MERIDIAN"/>
        <w:numPr>
          <w:ilvl w:val="0"/>
          <w:numId w:val="0"/>
        </w:numPr>
        <w:spacing w:line="360" w:lineRule="auto"/>
        <w:jc w:val="both"/>
        <w:rPr>
          <w:szCs w:val="19"/>
        </w:rPr>
      </w:pPr>
    </w:p>
    <w:p w14:paraId="06BD1BF2" w14:textId="77777777" w:rsidR="00E04E02" w:rsidRPr="00270CE1" w:rsidRDefault="00E04E02" w:rsidP="00E04E02">
      <w:pPr>
        <w:spacing w:line="240" w:lineRule="auto"/>
        <w:rPr>
          <w:rFonts w:cs="Arial"/>
          <w:b/>
          <w:noProof/>
          <w:sz w:val="14"/>
          <w:szCs w:val="14"/>
          <w:lang w:val="de-DE"/>
        </w:rPr>
      </w:pPr>
      <w:r w:rsidRPr="00270CE1">
        <w:rPr>
          <w:rFonts w:cs="Arial"/>
          <w:b/>
          <w:noProof/>
          <w:sz w:val="14"/>
          <w:szCs w:val="14"/>
          <w:lang w:val="de-DE"/>
        </w:rPr>
        <w:t>CHG-MERIDIAN: Das Unternehmen</w:t>
      </w:r>
    </w:p>
    <w:p w14:paraId="1FE5D4A1" w14:textId="77777777" w:rsidR="00E04E02" w:rsidRPr="00270CE1" w:rsidRDefault="00E04E02" w:rsidP="00E04E02">
      <w:pPr>
        <w:spacing w:line="240" w:lineRule="auto"/>
        <w:rPr>
          <w:rFonts w:cs="Arial"/>
          <w:b/>
          <w:noProof/>
          <w:sz w:val="14"/>
          <w:szCs w:val="14"/>
          <w:lang w:val="de-DE"/>
        </w:rPr>
      </w:pPr>
    </w:p>
    <w:p w14:paraId="4F1AE36D" w14:textId="44805C34" w:rsidR="00E04E02" w:rsidRPr="00270CE1" w:rsidRDefault="00E04E02" w:rsidP="00E04E02">
      <w:pPr>
        <w:pStyle w:val="AufzhlungspunkteCHG-MERIDIAN"/>
        <w:numPr>
          <w:ilvl w:val="0"/>
          <w:numId w:val="0"/>
        </w:numPr>
        <w:spacing w:line="240" w:lineRule="auto"/>
        <w:jc w:val="both"/>
        <w:rPr>
          <w:rFonts w:cs="Arial"/>
          <w:noProof/>
          <w:sz w:val="14"/>
          <w:szCs w:val="14"/>
        </w:rPr>
      </w:pPr>
      <w:r w:rsidRPr="00270CE1">
        <w:rPr>
          <w:rFonts w:cs="Arial"/>
          <w:noProof/>
          <w:sz w:val="14"/>
          <w:szCs w:val="14"/>
        </w:rPr>
        <w:t>CHG-MERIDIAN zählt zu den weltweit führenden hersteller- und bankenunabhängigen Anbietern von Technologie-Management in den Bereichen IT, Industrie und Healthcare. Mit rund 850 Mitarbeitern bietet CHG-MERIDIAN eine ganzheitliche Betreuung der Technologie-Infrastruktur seiner Kunden – vom Consulting über Financial- und Operational-Services bis zu den Remarketing-Services für die genutzten Geräte in zwei eigenen Technologie- und Servicezentren in Deutschland und Norwegen. CHG-MERIDIAN bietet effizientes Technologie-Management für Großunternehmen, den Mittelstand und öffentliche Auftraggeber und betreut weltweit rund 10.000 Kunden mit Technologie-Investitionen von mehr als 4,4 Milliarden Euro. Mit mehr als 10.000 Nutzer sorgt das online-basierte Technologie- und Service-Management-System TESMA</w:t>
      </w:r>
      <w:r w:rsidRPr="00270CE1">
        <w:rPr>
          <w:rFonts w:cs="Arial"/>
          <w:noProof/>
          <w:sz w:val="14"/>
          <w:szCs w:val="14"/>
          <w:vertAlign w:val="superscript"/>
        </w:rPr>
        <w:t>®</w:t>
      </w:r>
      <w:r w:rsidRPr="00270CE1">
        <w:rPr>
          <w:rFonts w:cs="Arial"/>
          <w:noProof/>
          <w:sz w:val="14"/>
          <w:szCs w:val="14"/>
        </w:rPr>
        <w:t xml:space="preserve"> für maximale Transparenz im Technologie-Controlling. Das Unternehmen verfügt über eine weltweite Präsenz in 23 Ländern an 37 Standorten; der Hauptsitz ist in Weingarten, Süddeutschland.</w:t>
      </w:r>
    </w:p>
    <w:p w14:paraId="5593BC9D" w14:textId="77777777" w:rsidR="00E04E02" w:rsidRPr="00270CE1" w:rsidRDefault="00E04E02" w:rsidP="00E04E02">
      <w:pPr>
        <w:pStyle w:val="AufzhlungspunkteCHG-MERIDIAN"/>
        <w:numPr>
          <w:ilvl w:val="0"/>
          <w:numId w:val="0"/>
        </w:numPr>
        <w:spacing w:line="240" w:lineRule="auto"/>
        <w:jc w:val="both"/>
        <w:rPr>
          <w:rFonts w:cs="Arial"/>
          <w:noProof/>
          <w:sz w:val="14"/>
          <w:szCs w:val="14"/>
        </w:rPr>
      </w:pPr>
    </w:p>
    <w:p w14:paraId="764B713F" w14:textId="1BBF42CB" w:rsidR="00965133" w:rsidRPr="004776E5" w:rsidRDefault="00E04E02" w:rsidP="00270CE1">
      <w:pPr>
        <w:rPr>
          <w:color w:val="FF0000"/>
          <w:sz w:val="14"/>
          <w:szCs w:val="14"/>
        </w:rPr>
      </w:pPr>
      <w:r w:rsidRPr="00270CE1">
        <w:rPr>
          <w:rFonts w:cs="Arial"/>
          <w:noProof/>
          <w:sz w:val="14"/>
          <w:szCs w:val="14"/>
          <w:lang w:val="de-DE"/>
        </w:rPr>
        <w:t>Efficient Technology Managemen</w:t>
      </w:r>
      <w:r w:rsidRPr="00270CE1">
        <w:rPr>
          <w:rFonts w:cs="Arial"/>
          <w:noProof/>
          <w:spacing w:val="20"/>
          <w:sz w:val="14"/>
          <w:szCs w:val="14"/>
          <w:lang w:val="de-DE"/>
        </w:rPr>
        <w:t>t</w:t>
      </w:r>
      <w:r w:rsidRPr="00270CE1">
        <w:rPr>
          <w:rFonts w:cs="Arial"/>
          <w:noProof/>
          <w:spacing w:val="20"/>
          <w:sz w:val="14"/>
          <w:szCs w:val="14"/>
          <w:vertAlign w:val="superscript"/>
          <w:lang w:val="de-DE"/>
        </w:rPr>
        <w:t>®</w:t>
      </w:r>
      <w:r w:rsidRPr="00E04E02">
        <w:rPr>
          <w:rFonts w:cs="Arial"/>
          <w:noProof/>
          <w:sz w:val="14"/>
          <w:szCs w:val="14"/>
          <w:lang w:val="de-DE"/>
        </w:rPr>
        <w:t xml:space="preserve"> </w:t>
      </w:r>
    </w:p>
    <w:sectPr w:rsidR="00965133" w:rsidRPr="004776E5" w:rsidSect="003475CD">
      <w:headerReference w:type="default" r:id="rId9"/>
      <w:footerReference w:type="default" r:id="rId10"/>
      <w:headerReference w:type="first" r:id="rId11"/>
      <w:footerReference w:type="first" r:id="rId12"/>
      <w:pgSz w:w="11906" w:h="16838" w:code="9"/>
      <w:pgMar w:top="1701" w:right="2834" w:bottom="1531" w:left="1304" w:header="624" w:footer="15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63066" w14:textId="77777777" w:rsidR="00E04E02" w:rsidRDefault="00E04E02" w:rsidP="00193879">
      <w:pPr>
        <w:spacing w:line="240" w:lineRule="auto"/>
      </w:pPr>
      <w:r>
        <w:separator/>
      </w:r>
    </w:p>
  </w:endnote>
  <w:endnote w:type="continuationSeparator" w:id="0">
    <w:p w14:paraId="15B6E446" w14:textId="77777777" w:rsidR="00E04E02" w:rsidRDefault="00E04E02" w:rsidP="001938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DCC8E" w14:textId="77777777" w:rsidR="00E04E02" w:rsidRDefault="00E04E02">
    <w:pPr>
      <w:pStyle w:val="Fuzeile"/>
    </w:pPr>
    <w:r>
      <w:rPr>
        <w:noProof/>
        <w:lang w:val="de-DE" w:eastAsia="de-DE"/>
      </w:rPr>
      <w:drawing>
        <wp:anchor distT="0" distB="0" distL="114300" distR="114300" simplePos="0" relativeHeight="251662336" behindDoc="1" locked="0" layoutInCell="1" allowOverlap="1" wp14:anchorId="1C65468C" wp14:editId="4B9B32BA">
          <wp:simplePos x="0" y="0"/>
          <wp:positionH relativeFrom="column">
            <wp:posOffset>-828040</wp:posOffset>
          </wp:positionH>
          <wp:positionV relativeFrom="paragraph">
            <wp:posOffset>180340</wp:posOffset>
          </wp:positionV>
          <wp:extent cx="7559675" cy="950595"/>
          <wp:effectExtent l="0" t="0" r="0" b="1905"/>
          <wp:wrapTight wrapText="bothSides">
            <wp:wrapPolygon edited="0">
              <wp:start x="3484" y="0"/>
              <wp:lineTo x="0" y="1731"/>
              <wp:lineTo x="0" y="21210"/>
              <wp:lineTo x="17527" y="21210"/>
              <wp:lineTo x="15458" y="14285"/>
              <wp:lineTo x="13717" y="10389"/>
              <wp:lineTo x="12465" y="6493"/>
              <wp:lineTo x="7729" y="1299"/>
              <wp:lineTo x="5987" y="0"/>
              <wp:lineTo x="3484"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b\AppData\Local\Microsoft\Windows\Temporary Internet Files\Content.Outlook\RUTJEW0H\Boegen_final (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950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FFE19" w14:textId="77777777" w:rsidR="00E04E02" w:rsidRDefault="00E04E02">
    <w:pPr>
      <w:pStyle w:val="Fuzeile"/>
    </w:pPr>
    <w:r>
      <w:rPr>
        <w:noProof/>
        <w:lang w:val="de-DE" w:eastAsia="de-DE"/>
      </w:rPr>
      <w:drawing>
        <wp:anchor distT="0" distB="0" distL="114300" distR="114300" simplePos="0" relativeHeight="251660288" behindDoc="1" locked="0" layoutInCell="1" allowOverlap="1" wp14:anchorId="0379F7B3" wp14:editId="1215C8CE">
          <wp:simplePos x="0" y="0"/>
          <wp:positionH relativeFrom="column">
            <wp:posOffset>-828040</wp:posOffset>
          </wp:positionH>
          <wp:positionV relativeFrom="paragraph">
            <wp:posOffset>177800</wp:posOffset>
          </wp:positionV>
          <wp:extent cx="7559675" cy="950595"/>
          <wp:effectExtent l="0" t="0" r="0" b="1905"/>
          <wp:wrapTight wrapText="bothSides">
            <wp:wrapPolygon edited="0">
              <wp:start x="3484" y="0"/>
              <wp:lineTo x="0" y="1731"/>
              <wp:lineTo x="0" y="21210"/>
              <wp:lineTo x="17527" y="21210"/>
              <wp:lineTo x="15458" y="14285"/>
              <wp:lineTo x="13717" y="10389"/>
              <wp:lineTo x="12465" y="6493"/>
              <wp:lineTo x="7729" y="1299"/>
              <wp:lineTo x="5987" y="0"/>
              <wp:lineTo x="3484"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b\AppData\Local\Microsoft\Windows\Temporary Internet Files\Content.Outlook\RUTJEW0H\Boegen_final (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950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2BC03" w14:textId="77777777" w:rsidR="00E04E02" w:rsidRDefault="00E04E02" w:rsidP="00193879">
      <w:pPr>
        <w:spacing w:line="240" w:lineRule="auto"/>
      </w:pPr>
      <w:r>
        <w:separator/>
      </w:r>
    </w:p>
  </w:footnote>
  <w:footnote w:type="continuationSeparator" w:id="0">
    <w:p w14:paraId="6C8B8364" w14:textId="77777777" w:rsidR="00E04E02" w:rsidRDefault="00E04E02" w:rsidP="001938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44D60" w14:textId="7781DEBA" w:rsidR="00E04E02" w:rsidRPr="003F430F" w:rsidRDefault="00E04E02" w:rsidP="0066580C">
    <w:pPr>
      <w:framePr w:w="7859" w:h="227" w:hRule="exact" w:wrap="around" w:vAnchor="page" w:hAnchor="page" w:x="1305" w:y="1305" w:anchorLock="1"/>
      <w:spacing w:line="180" w:lineRule="exact"/>
      <w:rPr>
        <w:rFonts w:cs="Arial"/>
        <w:noProof/>
        <w:color w:val="6F6F6F"/>
        <w:sz w:val="14"/>
        <w:szCs w:val="14"/>
        <w:lang w:val="de-DE"/>
      </w:rPr>
    </w:pPr>
    <w:r w:rsidRPr="00B77EB2">
      <w:rPr>
        <w:rFonts w:cs="Arial"/>
        <w:color w:val="6F6F6F"/>
        <w:sz w:val="14"/>
        <w:szCs w:val="14"/>
        <w:lang w:val="de-DE"/>
      </w:rPr>
      <w:t xml:space="preserve">Seite </w:t>
    </w:r>
    <w:r w:rsidRPr="00B77EB2">
      <w:rPr>
        <w:rFonts w:cs="Arial"/>
        <w:color w:val="6F6F6F"/>
        <w:sz w:val="14"/>
        <w:szCs w:val="14"/>
        <w:lang w:val="de-DE"/>
      </w:rPr>
      <w:fldChar w:fldCharType="begin"/>
    </w:r>
    <w:r w:rsidRPr="00B77EB2">
      <w:rPr>
        <w:rFonts w:cs="Arial"/>
        <w:color w:val="6F6F6F"/>
        <w:sz w:val="14"/>
        <w:szCs w:val="14"/>
        <w:lang w:val="de-DE"/>
      </w:rPr>
      <w:instrText xml:space="preserve"> PAGE </w:instrText>
    </w:r>
    <w:r w:rsidRPr="00B77EB2">
      <w:rPr>
        <w:rFonts w:cs="Arial"/>
        <w:color w:val="6F6F6F"/>
        <w:sz w:val="14"/>
        <w:szCs w:val="14"/>
        <w:lang w:val="de-DE"/>
      </w:rPr>
      <w:fldChar w:fldCharType="separate"/>
    </w:r>
    <w:r w:rsidR="0016366C">
      <w:rPr>
        <w:rFonts w:cs="Arial"/>
        <w:noProof/>
        <w:color w:val="6F6F6F"/>
        <w:sz w:val="14"/>
        <w:szCs w:val="14"/>
        <w:lang w:val="de-DE"/>
      </w:rPr>
      <w:t>3</w:t>
    </w:r>
    <w:r w:rsidRPr="00B77EB2">
      <w:rPr>
        <w:rFonts w:cs="Arial"/>
        <w:color w:val="6F6F6F"/>
        <w:sz w:val="14"/>
        <w:szCs w:val="14"/>
        <w:lang w:val="de-DE"/>
      </w:rPr>
      <w:fldChar w:fldCharType="end"/>
    </w:r>
    <w:r w:rsidRPr="00B77EB2">
      <w:rPr>
        <w:rFonts w:cs="Arial"/>
        <w:color w:val="6F6F6F"/>
        <w:sz w:val="14"/>
        <w:szCs w:val="14"/>
        <w:lang w:val="de-DE"/>
      </w:rPr>
      <w:t xml:space="preserve"> von </w:t>
    </w:r>
    <w:r w:rsidRPr="00B77EB2">
      <w:rPr>
        <w:rFonts w:cs="Arial"/>
        <w:color w:val="6F6F6F"/>
        <w:sz w:val="14"/>
        <w:szCs w:val="14"/>
        <w:lang w:val="de-DE"/>
      </w:rPr>
      <w:fldChar w:fldCharType="begin"/>
    </w:r>
    <w:r w:rsidRPr="00B77EB2">
      <w:rPr>
        <w:rFonts w:cs="Arial"/>
        <w:color w:val="6F6F6F"/>
        <w:sz w:val="14"/>
        <w:szCs w:val="14"/>
        <w:lang w:val="de-DE"/>
      </w:rPr>
      <w:instrText xml:space="preserve"> NUMPAGES </w:instrText>
    </w:r>
    <w:r w:rsidRPr="00B77EB2">
      <w:rPr>
        <w:rFonts w:cs="Arial"/>
        <w:color w:val="6F6F6F"/>
        <w:sz w:val="14"/>
        <w:szCs w:val="14"/>
        <w:lang w:val="de-DE"/>
      </w:rPr>
      <w:fldChar w:fldCharType="separate"/>
    </w:r>
    <w:r w:rsidR="0016366C">
      <w:rPr>
        <w:rFonts w:cs="Arial"/>
        <w:noProof/>
        <w:color w:val="6F6F6F"/>
        <w:sz w:val="14"/>
        <w:szCs w:val="14"/>
        <w:lang w:val="de-DE"/>
      </w:rPr>
      <w:t>3</w:t>
    </w:r>
    <w:r w:rsidRPr="00B77EB2">
      <w:rPr>
        <w:rFonts w:cs="Arial"/>
        <w:color w:val="6F6F6F"/>
        <w:sz w:val="14"/>
        <w:szCs w:val="14"/>
        <w:lang w:val="de-DE"/>
      </w:rPr>
      <w:fldChar w:fldCharType="end"/>
    </w:r>
    <w:r w:rsidRPr="00B77EB2">
      <w:rPr>
        <w:rFonts w:cs="Arial"/>
        <w:color w:val="6F6F6F"/>
        <w:sz w:val="14"/>
        <w:szCs w:val="14"/>
        <w:lang w:val="de-DE"/>
      </w:rPr>
      <w:t xml:space="preserve"> </w:t>
    </w:r>
  </w:p>
  <w:p w14:paraId="2CB918DE" w14:textId="77777777" w:rsidR="00E04E02" w:rsidRPr="003F430F" w:rsidRDefault="00E04E02" w:rsidP="0066580C">
    <w:pPr>
      <w:framePr w:w="7859" w:h="227" w:hRule="exact" w:wrap="around" w:vAnchor="page" w:hAnchor="page" w:x="1305" w:y="1305" w:anchorLock="1"/>
      <w:rPr>
        <w:noProof/>
        <w:lang w:val="de-DE"/>
      </w:rPr>
    </w:pPr>
  </w:p>
  <w:p w14:paraId="53FBD0F1" w14:textId="77777777" w:rsidR="00E04E02" w:rsidRPr="003F430F" w:rsidRDefault="00E04E02" w:rsidP="0066580C">
    <w:pPr>
      <w:framePr w:w="7859" w:h="227" w:hRule="exact" w:wrap="around" w:vAnchor="page" w:hAnchor="page" w:x="1305" w:y="1305" w:anchorLock="1"/>
      <w:rPr>
        <w:noProof/>
        <w:lang w:val="de-DE"/>
      </w:rPr>
    </w:pPr>
  </w:p>
  <w:p w14:paraId="7E8B94A6" w14:textId="77777777" w:rsidR="00E04E02" w:rsidRPr="003F430F" w:rsidRDefault="00E04E02" w:rsidP="0066580C">
    <w:pPr>
      <w:framePr w:w="7859" w:h="227" w:hRule="exact" w:wrap="around" w:vAnchor="page" w:hAnchor="page" w:x="1305" w:y="1305" w:anchorLock="1"/>
      <w:rPr>
        <w:lang w:val="de-DE"/>
      </w:rPr>
    </w:pPr>
  </w:p>
  <w:p w14:paraId="4BD2A21C" w14:textId="001E1B46" w:rsidR="00E04E02" w:rsidRPr="003F430F" w:rsidRDefault="00E04E02" w:rsidP="0066580C">
    <w:pPr>
      <w:framePr w:w="7859" w:h="227" w:hRule="exact" w:wrap="around" w:vAnchor="page" w:hAnchor="page" w:x="1305" w:y="1305" w:anchorLock="1"/>
      <w:rPr>
        <w:noProof/>
        <w:lang w:val="de-DE"/>
      </w:rPr>
    </w:pPr>
    <w:r w:rsidRPr="00F34EC2">
      <w:fldChar w:fldCharType="begin"/>
    </w:r>
    <w:r w:rsidRPr="003F430F">
      <w:rPr>
        <w:lang w:val="de-DE"/>
      </w:rPr>
      <w:instrText xml:space="preserve"> MERGEFIELD EFax \* MERGEFORMAT </w:instrText>
    </w:r>
    <w:r w:rsidRPr="00F34EC2">
      <w:fldChar w:fldCharType="separate"/>
    </w:r>
    <w:r w:rsidR="0016366C">
      <w:rPr>
        <w:noProof/>
        <w:lang w:val="de-DE"/>
      </w:rPr>
      <w:t>«EFax»</w:t>
    </w:r>
    <w:r w:rsidRPr="00F34EC2">
      <w:rPr>
        <w:noProof/>
        <w:lang w:val="fr-FR"/>
      </w:rPr>
      <w:fldChar w:fldCharType="end"/>
    </w:r>
  </w:p>
  <w:p w14:paraId="6AA1E51C" w14:textId="77777777" w:rsidR="00E04E02" w:rsidRPr="003F430F" w:rsidRDefault="00E04E02" w:rsidP="0066580C">
    <w:pPr>
      <w:framePr w:w="7859" w:h="227" w:hRule="exact" w:wrap="around" w:vAnchor="page" w:hAnchor="page" w:x="1305" w:y="1305" w:anchorLock="1"/>
      <w:rPr>
        <w:noProof/>
        <w:lang w:val="de-DE"/>
      </w:rPr>
    </w:pPr>
  </w:p>
  <w:p w14:paraId="5FDF5450" w14:textId="77777777" w:rsidR="00E04E02" w:rsidRPr="003F430F" w:rsidRDefault="00E04E02" w:rsidP="0066580C">
    <w:pPr>
      <w:framePr w:w="7859" w:h="227" w:hRule="exact" w:wrap="around" w:vAnchor="page" w:hAnchor="page" w:x="1305" w:y="1305" w:anchorLock="1"/>
      <w:spacing w:line="180" w:lineRule="exact"/>
      <w:rPr>
        <w:rFonts w:cs="Arial"/>
        <w:color w:val="969696"/>
        <w:sz w:val="14"/>
        <w:szCs w:val="14"/>
        <w:lang w:val="de-DE"/>
      </w:rPr>
    </w:pPr>
  </w:p>
  <w:p w14:paraId="15B2658B" w14:textId="77777777" w:rsidR="00E04E02" w:rsidRPr="006A7DBA" w:rsidRDefault="00E04E02" w:rsidP="0066580C">
    <w:pPr>
      <w:framePr w:w="7859" w:h="227" w:hRule="exact" w:wrap="around" w:vAnchor="page" w:hAnchor="page" w:x="1305" w:y="1305" w:anchorLock="1"/>
      <w:spacing w:line="180" w:lineRule="exact"/>
      <w:rPr>
        <w:b/>
        <w:i/>
        <w:noProof/>
        <w:color w:val="969696"/>
        <w:sz w:val="14"/>
        <w:szCs w:val="14"/>
        <w:lang w:val="de-DE"/>
      </w:rPr>
    </w:pPr>
    <w:r w:rsidRPr="006A7DBA">
      <w:rPr>
        <w:rFonts w:cs="Arial"/>
        <w:b/>
        <w:i/>
        <w:color w:val="969696"/>
        <w:sz w:val="14"/>
        <w:szCs w:val="14"/>
        <w:lang w:val="de-DE"/>
      </w:rPr>
      <w:t>Betreff: Microsoft Software</w:t>
    </w:r>
  </w:p>
  <w:p w14:paraId="77EE4F39" w14:textId="77777777" w:rsidR="00E04E02" w:rsidRDefault="00E04E02" w:rsidP="00AE708B">
    <w:pPr>
      <w:pStyle w:val="Kopfzeile"/>
      <w:rPr>
        <w:lang w:val="de-DE"/>
      </w:rPr>
    </w:pPr>
    <w:r>
      <w:rPr>
        <w:noProof/>
        <w:lang w:val="de-DE" w:eastAsia="de-DE"/>
      </w:rPr>
      <w:drawing>
        <wp:anchor distT="0" distB="0" distL="114300" distR="114300" simplePos="0" relativeHeight="251658752" behindDoc="1" locked="0" layoutInCell="1" allowOverlap="1" wp14:anchorId="3D163C75" wp14:editId="191A2E0C">
          <wp:simplePos x="0" y="0"/>
          <wp:positionH relativeFrom="page">
            <wp:posOffset>5958840</wp:posOffset>
          </wp:positionH>
          <wp:positionV relativeFrom="page">
            <wp:posOffset>439420</wp:posOffset>
          </wp:positionV>
          <wp:extent cx="943200" cy="324000"/>
          <wp:effectExtent l="0" t="0" r="0" b="0"/>
          <wp:wrapTight wrapText="bothSides">
            <wp:wrapPolygon edited="0">
              <wp:start x="873" y="0"/>
              <wp:lineTo x="0" y="3812"/>
              <wp:lineTo x="0" y="16518"/>
              <wp:lineTo x="873" y="20329"/>
              <wp:lineTo x="20073" y="20329"/>
              <wp:lineTo x="20945" y="16518"/>
              <wp:lineTo x="20945" y="2541"/>
              <wp:lineTo x="20073" y="0"/>
              <wp:lineTo x="873" y="0"/>
            </wp:wrapPolygon>
          </wp:wrapTight>
          <wp:docPr id="16" name="Bild 16" descr="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G_Logo_rgb_300dpi_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6233B9" w14:textId="77777777" w:rsidR="00E04E02" w:rsidRPr="00DA141B" w:rsidRDefault="00E04E02" w:rsidP="00AE708B">
    <w:pPr>
      <w:pStyle w:val="Kopfzeile"/>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2517"/>
    </w:tblGrid>
    <w:tr w:rsidR="00E04E02" w:rsidRPr="00270CE1" w14:paraId="2FFF02A3" w14:textId="77777777" w:rsidTr="007C30C3">
      <w:tc>
        <w:tcPr>
          <w:tcW w:w="2657" w:type="dxa"/>
          <w:hideMark/>
        </w:tcPr>
        <w:p w14:paraId="4771ADCE" w14:textId="1208FE6F" w:rsidR="00E04E02" w:rsidRDefault="00E04E02" w:rsidP="00F649D6">
          <w:pPr>
            <w:framePr w:w="2517" w:h="8505" w:hSpace="482" w:wrap="around" w:vAnchor="page" w:hAnchor="page" w:x="9385" w:y="6539" w:anchorLock="1"/>
            <w:tabs>
              <w:tab w:val="left" w:pos="709"/>
              <w:tab w:val="right" w:pos="2835"/>
            </w:tabs>
            <w:spacing w:line="200" w:lineRule="atLeast"/>
            <w:jc w:val="left"/>
            <w:rPr>
              <w:b/>
              <w:color w:val="6F6F6E"/>
              <w:sz w:val="14"/>
            </w:rPr>
          </w:pPr>
          <w:r>
            <w:rPr>
              <w:b/>
              <w:color w:val="6F6F6E"/>
              <w:sz w:val="14"/>
            </w:rPr>
            <w:t>Datum: 10.02.2017</w:t>
          </w:r>
        </w:p>
        <w:p w14:paraId="7D50C513" w14:textId="77777777" w:rsidR="00E04E02" w:rsidRPr="00F649D6" w:rsidRDefault="00E04E02" w:rsidP="00F649D6">
          <w:pPr>
            <w:framePr w:w="2517" w:h="8505" w:hSpace="482" w:wrap="around" w:vAnchor="page" w:hAnchor="page" w:x="9385" w:y="6539" w:anchorLock="1"/>
            <w:tabs>
              <w:tab w:val="left" w:pos="709"/>
              <w:tab w:val="right" w:pos="2835"/>
            </w:tabs>
            <w:spacing w:line="200" w:lineRule="atLeast"/>
            <w:jc w:val="left"/>
            <w:rPr>
              <w:color w:val="6F6F6E"/>
              <w:sz w:val="14"/>
            </w:rPr>
          </w:pPr>
        </w:p>
        <w:p w14:paraId="6F2591E6" w14:textId="77777777" w:rsidR="00E04E02" w:rsidRPr="00F649D6" w:rsidRDefault="00E04E02" w:rsidP="00F649D6">
          <w:pPr>
            <w:framePr w:w="2517" w:h="8505" w:hSpace="482" w:wrap="around" w:vAnchor="page" w:hAnchor="page" w:x="9385" w:y="6539" w:anchorLock="1"/>
            <w:tabs>
              <w:tab w:val="left" w:pos="709"/>
              <w:tab w:val="right" w:pos="2835"/>
            </w:tabs>
            <w:spacing w:line="200" w:lineRule="atLeast"/>
            <w:jc w:val="left"/>
            <w:rPr>
              <w:color w:val="6F6F6E"/>
              <w:sz w:val="14"/>
            </w:rPr>
          </w:pPr>
          <w:r w:rsidRPr="00F649D6">
            <w:rPr>
              <w:color w:val="6F6F6E"/>
              <w:sz w:val="14"/>
            </w:rPr>
            <w:t>Ihr Ansprechpartner:</w:t>
          </w:r>
        </w:p>
        <w:p w14:paraId="0F5B0B23" w14:textId="77777777" w:rsidR="00E04E02" w:rsidRPr="00F649D6" w:rsidRDefault="00E04E02" w:rsidP="00F649D6">
          <w:pPr>
            <w:framePr w:w="2517" w:h="8505" w:hSpace="482" w:wrap="around" w:vAnchor="page" w:hAnchor="page" w:x="9385" w:y="6539" w:anchorLock="1"/>
            <w:tabs>
              <w:tab w:val="left" w:pos="709"/>
              <w:tab w:val="right" w:pos="2835"/>
            </w:tabs>
            <w:spacing w:line="200" w:lineRule="atLeast"/>
            <w:jc w:val="left"/>
            <w:rPr>
              <w:color w:val="6F6F6E"/>
              <w:sz w:val="14"/>
            </w:rPr>
          </w:pPr>
          <w:r w:rsidRPr="00F649D6">
            <w:rPr>
              <w:color w:val="6F6F6E"/>
              <w:sz w:val="14"/>
            </w:rPr>
            <w:t xml:space="preserve">Matthias Steybe </w:t>
          </w:r>
        </w:p>
        <w:p w14:paraId="32C6E474" w14:textId="77777777" w:rsidR="00E04E02" w:rsidRPr="00F649D6" w:rsidRDefault="00E04E02" w:rsidP="00F649D6">
          <w:pPr>
            <w:framePr w:w="2517" w:h="8505" w:hSpace="482" w:wrap="around" w:vAnchor="page" w:hAnchor="page" w:x="9385" w:y="6539" w:anchorLock="1"/>
            <w:tabs>
              <w:tab w:val="left" w:pos="709"/>
              <w:tab w:val="right" w:pos="2835"/>
            </w:tabs>
            <w:spacing w:line="200" w:lineRule="atLeast"/>
            <w:jc w:val="left"/>
            <w:rPr>
              <w:color w:val="6F6F6E"/>
              <w:sz w:val="14"/>
            </w:rPr>
          </w:pPr>
          <w:r w:rsidRPr="00F649D6">
            <w:rPr>
              <w:color w:val="6F6F6E"/>
              <w:sz w:val="14"/>
            </w:rPr>
            <w:t xml:space="preserve">Head of Communications </w:t>
          </w:r>
        </w:p>
        <w:p w14:paraId="13370C76" w14:textId="77777777" w:rsidR="00E04E02" w:rsidRPr="0065673F" w:rsidRDefault="00E04E02"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65673F">
            <w:rPr>
              <w:color w:val="6F6F6E"/>
              <w:sz w:val="14"/>
              <w:lang w:val="de-DE"/>
            </w:rPr>
            <w:t>und Marketing</w:t>
          </w:r>
        </w:p>
        <w:p w14:paraId="41E5C7EF" w14:textId="77777777" w:rsidR="00E04E02" w:rsidRPr="0065673F" w:rsidRDefault="00E04E02"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p>
        <w:p w14:paraId="2733F717" w14:textId="77777777" w:rsidR="00E04E02" w:rsidRPr="0065673F" w:rsidRDefault="00E04E02"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65673F">
            <w:rPr>
              <w:color w:val="6F6F6E"/>
              <w:sz w:val="14"/>
              <w:lang w:val="de-DE"/>
            </w:rPr>
            <w:t>Franz-Beer-Straße 111</w:t>
          </w:r>
        </w:p>
        <w:p w14:paraId="0F9AE9FA" w14:textId="77777777" w:rsidR="00E04E02" w:rsidRPr="0065673F" w:rsidRDefault="00E04E02"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65673F">
            <w:rPr>
              <w:color w:val="6F6F6E"/>
              <w:sz w:val="14"/>
              <w:lang w:val="de-DE"/>
            </w:rPr>
            <w:t>D-88250 Weingarten</w:t>
          </w:r>
        </w:p>
        <w:p w14:paraId="450ECD46" w14:textId="77777777" w:rsidR="00E04E02" w:rsidRPr="0065673F" w:rsidRDefault="00E04E02"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p>
        <w:p w14:paraId="63E5CBC5" w14:textId="77777777" w:rsidR="00E04E02" w:rsidRPr="0065673F" w:rsidRDefault="00E04E02"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65673F">
            <w:rPr>
              <w:color w:val="6F6F6E"/>
              <w:sz w:val="14"/>
              <w:lang w:val="de-DE"/>
            </w:rPr>
            <w:t>Tel. +49 751 503-248</w:t>
          </w:r>
        </w:p>
        <w:p w14:paraId="01C74080" w14:textId="77777777" w:rsidR="00E04E02" w:rsidRPr="0065673F" w:rsidRDefault="00E04E02"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65673F">
            <w:rPr>
              <w:color w:val="6F6F6E"/>
              <w:sz w:val="14"/>
              <w:lang w:val="de-DE"/>
            </w:rPr>
            <w:t>Fax. +49 751 503-7248</w:t>
          </w:r>
        </w:p>
        <w:p w14:paraId="5402329C" w14:textId="77777777" w:rsidR="00E04E02" w:rsidRPr="0065673F" w:rsidRDefault="00E04E02" w:rsidP="00F649D6">
          <w:pPr>
            <w:framePr w:w="2517" w:h="8505" w:hSpace="482" w:wrap="around" w:vAnchor="page" w:hAnchor="page" w:x="9385" w:y="6539" w:anchorLock="1"/>
            <w:tabs>
              <w:tab w:val="left" w:pos="709"/>
              <w:tab w:val="right" w:pos="2835"/>
            </w:tabs>
            <w:spacing w:line="200" w:lineRule="atLeast"/>
            <w:jc w:val="left"/>
            <w:rPr>
              <w:color w:val="6F6F6E"/>
              <w:sz w:val="14"/>
              <w:lang w:val="it-IT"/>
            </w:rPr>
          </w:pPr>
          <w:r w:rsidRPr="0065673F">
            <w:rPr>
              <w:color w:val="6F6F6E"/>
              <w:sz w:val="14"/>
              <w:lang w:val="de-DE"/>
            </w:rPr>
            <w:t xml:space="preserve">Mobil. </w:t>
          </w:r>
          <w:r w:rsidRPr="0065673F">
            <w:rPr>
              <w:color w:val="6F6F6E"/>
              <w:sz w:val="14"/>
              <w:lang w:val="it-IT"/>
            </w:rPr>
            <w:t xml:space="preserve">+49 172 667-1341 </w:t>
          </w:r>
        </w:p>
        <w:p w14:paraId="735C68C8" w14:textId="0960C15C" w:rsidR="00E04E02" w:rsidRPr="00965133" w:rsidRDefault="0016366C" w:rsidP="00F649D6">
          <w:pPr>
            <w:framePr w:w="2517" w:h="8505" w:hSpace="482" w:wrap="around" w:vAnchor="page" w:hAnchor="page" w:x="9385" w:y="6539" w:anchorLock="1"/>
            <w:tabs>
              <w:tab w:val="left" w:pos="709"/>
              <w:tab w:val="right" w:pos="2835"/>
            </w:tabs>
            <w:spacing w:line="200" w:lineRule="atLeast"/>
            <w:jc w:val="left"/>
            <w:rPr>
              <w:color w:val="6F6F6E"/>
              <w:sz w:val="14"/>
              <w:szCs w:val="14"/>
              <w:lang w:val="de-DE"/>
            </w:rPr>
          </w:pPr>
          <w:hyperlink r:id="rId1" w:history="1">
            <w:r w:rsidR="00E04E02" w:rsidRPr="00965133">
              <w:rPr>
                <w:color w:val="6F6F6E"/>
                <w:sz w:val="14"/>
                <w:szCs w:val="14"/>
                <w:lang w:val="de-DE"/>
              </w:rPr>
              <w:t>matthias.steybe@chg-</w:t>
            </w:r>
          </w:hyperlink>
        </w:p>
        <w:p w14:paraId="3B2CB6E5" w14:textId="77777777" w:rsidR="00E04E02" w:rsidRPr="00965133" w:rsidRDefault="00E04E02" w:rsidP="00F649D6">
          <w:pPr>
            <w:framePr w:w="2517" w:h="8505" w:hSpace="482" w:wrap="around" w:vAnchor="page" w:hAnchor="page" w:x="9385" w:y="6539" w:anchorLock="1"/>
            <w:tabs>
              <w:tab w:val="left" w:pos="709"/>
              <w:tab w:val="right" w:pos="2835"/>
            </w:tabs>
            <w:spacing w:line="200" w:lineRule="atLeast"/>
            <w:jc w:val="left"/>
            <w:rPr>
              <w:color w:val="6F6F6E"/>
              <w:sz w:val="14"/>
              <w:szCs w:val="14"/>
              <w:lang w:val="de-DE"/>
            </w:rPr>
          </w:pPr>
          <w:r w:rsidRPr="00965133">
            <w:rPr>
              <w:color w:val="6F6F6E"/>
              <w:sz w:val="14"/>
              <w:szCs w:val="14"/>
              <w:lang w:val="de-DE"/>
            </w:rPr>
            <w:t>meridian.de</w:t>
          </w:r>
        </w:p>
        <w:p w14:paraId="3D713AF2" w14:textId="77777777" w:rsidR="00E04E02" w:rsidRPr="00965133" w:rsidRDefault="00E04E02" w:rsidP="00F649D6">
          <w:pPr>
            <w:framePr w:w="2517" w:h="8505" w:hSpace="482" w:wrap="around" w:vAnchor="page" w:hAnchor="page" w:x="9385" w:y="6539" w:anchorLock="1"/>
            <w:tabs>
              <w:tab w:val="left" w:pos="709"/>
              <w:tab w:val="right" w:pos="2835"/>
            </w:tabs>
            <w:spacing w:line="200" w:lineRule="atLeast"/>
            <w:jc w:val="left"/>
            <w:rPr>
              <w:color w:val="6F6F6E"/>
              <w:sz w:val="14"/>
              <w:szCs w:val="14"/>
              <w:lang w:val="de-DE"/>
            </w:rPr>
          </w:pPr>
        </w:p>
        <w:p w14:paraId="3BEF21E4" w14:textId="7ECD001E" w:rsidR="00E04E02" w:rsidRPr="00965133" w:rsidRDefault="00E04E02"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965133">
            <w:rPr>
              <w:color w:val="6F6F6E"/>
              <w:sz w:val="14"/>
              <w:lang w:val="de-DE"/>
            </w:rPr>
            <w:t>www.chg-meridian.com</w:t>
          </w:r>
        </w:p>
        <w:p w14:paraId="5FF408B5" w14:textId="77777777" w:rsidR="00E04E02" w:rsidRPr="00965133" w:rsidRDefault="00E04E02" w:rsidP="008746ED">
          <w:pPr>
            <w:framePr w:w="2517" w:h="8505" w:hSpace="482" w:wrap="around" w:vAnchor="page" w:hAnchor="page" w:x="9385" w:y="6539" w:anchorLock="1"/>
            <w:spacing w:line="210" w:lineRule="exact"/>
            <w:rPr>
              <w:sz w:val="14"/>
              <w:szCs w:val="14"/>
              <w:lang w:val="de-DE"/>
            </w:rPr>
          </w:pPr>
        </w:p>
      </w:tc>
    </w:tr>
  </w:tbl>
  <w:p w14:paraId="6514FCDB" w14:textId="77777777" w:rsidR="00E04E02" w:rsidRPr="00965133" w:rsidRDefault="00E04E02" w:rsidP="008746ED">
    <w:pPr>
      <w:framePr w:w="2517" w:h="8505" w:hSpace="482" w:wrap="around" w:vAnchor="page" w:hAnchor="page" w:x="9385" w:y="6539" w:anchorLock="1"/>
      <w:spacing w:line="210" w:lineRule="exact"/>
      <w:rPr>
        <w:sz w:val="14"/>
        <w:szCs w:val="14"/>
        <w:lang w:val="de-DE"/>
      </w:rPr>
    </w:pPr>
  </w:p>
  <w:p w14:paraId="71354EFF" w14:textId="77777777" w:rsidR="00E04E02" w:rsidRPr="00965133" w:rsidRDefault="00E04E02" w:rsidP="008746ED">
    <w:pPr>
      <w:framePr w:w="2517" w:h="8505" w:hSpace="482" w:wrap="around" w:vAnchor="page" w:hAnchor="page" w:x="9385" w:y="6539" w:anchorLock="1"/>
      <w:spacing w:line="210" w:lineRule="exact"/>
      <w:rPr>
        <w:sz w:val="14"/>
        <w:szCs w:val="14"/>
        <w:lang w:val="de-DE"/>
      </w:rPr>
    </w:pPr>
  </w:p>
  <w:p w14:paraId="25248CFE" w14:textId="77777777" w:rsidR="00E04E02" w:rsidRPr="00965133" w:rsidRDefault="00E04E02" w:rsidP="008746ED">
    <w:pPr>
      <w:framePr w:w="2517" w:h="8505" w:hSpace="482" w:wrap="around" w:vAnchor="page" w:hAnchor="page" w:x="9385" w:y="6539" w:anchorLock="1"/>
      <w:spacing w:line="210" w:lineRule="exact"/>
      <w:rPr>
        <w:sz w:val="14"/>
        <w:szCs w:val="14"/>
        <w:lang w:val="de-DE"/>
      </w:rPr>
    </w:pPr>
  </w:p>
  <w:p w14:paraId="0641A599" w14:textId="77777777" w:rsidR="00E04E02" w:rsidRPr="00277562" w:rsidRDefault="00E04E02" w:rsidP="00154F03">
    <w:pPr>
      <w:pStyle w:val="berschrift2"/>
      <w:rPr>
        <w:lang w:val="de-DE"/>
      </w:rPr>
    </w:pPr>
    <w:r w:rsidRPr="00426275">
      <w:rPr>
        <w:b w:val="0"/>
        <w:lang w:val="de-DE"/>
      </w:rPr>
      <w:t xml:space="preserve">PRESSEMITTEILUNG </w:t>
    </w:r>
    <w:r>
      <w:rPr>
        <w:noProof/>
        <w:lang w:val="de-DE" w:eastAsia="de-DE"/>
      </w:rPr>
      <w:drawing>
        <wp:anchor distT="0" distB="0" distL="114300" distR="114300" simplePos="0" relativeHeight="251656192" behindDoc="1" locked="0" layoutInCell="1" allowOverlap="1" wp14:anchorId="420B0D84" wp14:editId="3D1255FF">
          <wp:simplePos x="0" y="0"/>
          <wp:positionH relativeFrom="page">
            <wp:posOffset>5958840</wp:posOffset>
          </wp:positionH>
          <wp:positionV relativeFrom="page">
            <wp:posOffset>439420</wp:posOffset>
          </wp:positionV>
          <wp:extent cx="943200" cy="324000"/>
          <wp:effectExtent l="0" t="0" r="0" b="0"/>
          <wp:wrapTight wrapText="bothSides">
            <wp:wrapPolygon edited="0">
              <wp:start x="873" y="0"/>
              <wp:lineTo x="0" y="3812"/>
              <wp:lineTo x="0" y="16518"/>
              <wp:lineTo x="873" y="20329"/>
              <wp:lineTo x="20073" y="20329"/>
              <wp:lineTo x="20945" y="16518"/>
              <wp:lineTo x="20945" y="2541"/>
              <wp:lineTo x="20073" y="0"/>
              <wp:lineTo x="873" y="0"/>
            </wp:wrapPolygon>
          </wp:wrapTight>
          <wp:docPr id="14" name="Bild 14" descr="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G_Logo_rgb_300dpi_transpar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2554"/>
    <w:multiLevelType w:val="multilevel"/>
    <w:tmpl w:val="F146BA34"/>
    <w:lvl w:ilvl="0">
      <w:start w:val="1"/>
      <w:numFmt w:val="decimal"/>
      <w:pStyle w:val="Ebene1CHG-berschrift"/>
      <w:suff w:val="space"/>
      <w:lvlText w:val="%1"/>
      <w:lvlJc w:val="left"/>
      <w:pPr>
        <w:ind w:left="360" w:hanging="360"/>
      </w:pPr>
      <w:rPr>
        <w:rFonts w:hint="default"/>
        <w:b/>
        <w:i w:val="0"/>
        <w:color w:val="7A716F"/>
        <w:spacing w:val="0"/>
        <w:sz w:val="22"/>
        <w:szCs w:val="22"/>
        <w:u w:color="ACA53D"/>
      </w:rPr>
    </w:lvl>
    <w:lvl w:ilvl="1">
      <w:start w:val="1"/>
      <w:numFmt w:val="decimal"/>
      <w:pStyle w:val="Ebene2CHG-berschrift"/>
      <w:suff w:val="space"/>
      <w:lvlText w:val="%1.%2"/>
      <w:lvlJc w:val="left"/>
      <w:pPr>
        <w:ind w:left="792" w:hanging="432"/>
      </w:pPr>
      <w:rPr>
        <w:rFonts w:hint="default"/>
        <w:b/>
        <w:i w:val="0"/>
        <w:color w:val="7A716F"/>
        <w:sz w:val="19"/>
        <w:u w:color="6F6F6E"/>
      </w:rPr>
    </w:lvl>
    <w:lvl w:ilvl="2">
      <w:start w:val="1"/>
      <w:numFmt w:val="decimal"/>
      <w:pStyle w:val="Ebene3CHG-berschrift"/>
      <w:suff w:val="space"/>
      <w:lvlText w:val="%1.%2.%3"/>
      <w:lvlJc w:val="left"/>
      <w:pPr>
        <w:ind w:left="1224" w:hanging="867"/>
      </w:pPr>
      <w:rPr>
        <w:rFonts w:hint="default"/>
        <w:b/>
        <w:i w:val="0"/>
        <w:color w:val="7A716F"/>
        <w:sz w:val="19"/>
        <w:u w:color="6F6F6E"/>
      </w:rPr>
    </w:lvl>
    <w:lvl w:ilvl="3">
      <w:start w:val="1"/>
      <w:numFmt w:val="decimal"/>
      <w:pStyle w:val="Ebene4CHG-berschrift"/>
      <w:suff w:val="space"/>
      <w:lvlText w:val="%1.%2.%3.%4"/>
      <w:lvlJc w:val="left"/>
      <w:pPr>
        <w:ind w:left="1728" w:hanging="1371"/>
      </w:pPr>
      <w:rPr>
        <w:rFonts w:hint="default"/>
        <w:b/>
        <w:i w:val="0"/>
        <w:color w:val="7A716F"/>
        <w:sz w:val="19"/>
        <w:u w:color="6F6F6E"/>
      </w:rPr>
    </w:lvl>
    <w:lvl w:ilvl="4">
      <w:start w:val="1"/>
      <w:numFmt w:val="decimal"/>
      <w:pStyle w:val="Ebene5CHG-berschrift"/>
      <w:suff w:val="space"/>
      <w:lvlText w:val="%1.%2.%3.%4.%5"/>
      <w:lvlJc w:val="left"/>
      <w:pPr>
        <w:ind w:left="2232" w:hanging="1875"/>
      </w:pPr>
      <w:rPr>
        <w:rFonts w:hint="default"/>
        <w:b/>
        <w:i w:val="0"/>
        <w:color w:val="7A716F"/>
        <w:sz w:val="19"/>
        <w:u w:color="6F6F6E"/>
      </w:rPr>
    </w:lvl>
    <w:lvl w:ilvl="5">
      <w:start w:val="1"/>
      <w:numFmt w:val="decimal"/>
      <w:pStyle w:val="Ebene6CHG-berschrift"/>
      <w:suff w:val="space"/>
      <w:lvlText w:val="%1.%2.%3.%4.%5.%6"/>
      <w:lvlJc w:val="left"/>
      <w:pPr>
        <w:ind w:left="2736" w:hanging="2379"/>
      </w:pPr>
      <w:rPr>
        <w:rFonts w:hint="default"/>
        <w:b/>
        <w:i w:val="0"/>
        <w:color w:val="7A716F"/>
        <w:sz w:val="19"/>
        <w:u w:color="6F6F6E"/>
      </w:rPr>
    </w:lvl>
    <w:lvl w:ilvl="6">
      <w:start w:val="1"/>
      <w:numFmt w:val="decimal"/>
      <w:suff w:val="space"/>
      <w:lvlText w:val="%1.%2.%3.%4.%5.%6.%7"/>
      <w:lvlJc w:val="left"/>
      <w:pPr>
        <w:ind w:left="3240" w:hanging="2883"/>
      </w:pPr>
      <w:rPr>
        <w:rFonts w:hint="default"/>
        <w:b/>
        <w:i w:val="0"/>
        <w:color w:val="7A716F"/>
        <w:sz w:val="19"/>
        <w:u w:color="6F6F6E"/>
      </w:rPr>
    </w:lvl>
    <w:lvl w:ilvl="7">
      <w:start w:val="1"/>
      <w:numFmt w:val="decimal"/>
      <w:suff w:val="space"/>
      <w:lvlText w:val="%1.%2.%3.%4.%5.%6.%7.%8"/>
      <w:lvlJc w:val="left"/>
      <w:pPr>
        <w:ind w:left="3744" w:hanging="3387"/>
      </w:pPr>
      <w:rPr>
        <w:rFonts w:hint="default"/>
        <w:b/>
        <w:i w:val="0"/>
        <w:color w:val="7A716F"/>
        <w:sz w:val="19"/>
        <w:u w:color="6F6F6E"/>
      </w:rPr>
    </w:lvl>
    <w:lvl w:ilvl="8">
      <w:start w:val="1"/>
      <w:numFmt w:val="decimal"/>
      <w:suff w:val="space"/>
      <w:lvlText w:val="%1.%2.%3.%4.%5.%6.%7.%8.%9"/>
      <w:lvlJc w:val="left"/>
      <w:pPr>
        <w:ind w:left="4320" w:hanging="3963"/>
      </w:pPr>
      <w:rPr>
        <w:rFonts w:hint="default"/>
        <w:b/>
        <w:i w:val="0"/>
        <w:color w:val="7A716F"/>
        <w:sz w:val="19"/>
        <w:u w:color="6F6F6E"/>
      </w:rPr>
    </w:lvl>
  </w:abstractNum>
  <w:abstractNum w:abstractNumId="1" w15:restartNumberingAfterBreak="0">
    <w:nsid w:val="0C4560A2"/>
    <w:multiLevelType w:val="hybridMultilevel"/>
    <w:tmpl w:val="F40E6F74"/>
    <w:lvl w:ilvl="0" w:tplc="B4941F10">
      <w:start w:val="1"/>
      <w:numFmt w:val="bullet"/>
      <w:pStyle w:val="AufzhlungspunkteCHG-MERIDIAN"/>
      <w:lvlText w:val=""/>
      <w:lvlJc w:val="left"/>
      <w:pPr>
        <w:ind w:left="644" w:hanging="360"/>
      </w:pPr>
      <w:rPr>
        <w:rFonts w:ascii="Symbol" w:hAnsi="Symbol" w:hint="default"/>
        <w:b w:val="0"/>
        <w:i w:val="0"/>
        <w:color w:val="7A716F"/>
        <w:sz w:val="19"/>
        <w:u w:color="D5221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682C3F"/>
    <w:multiLevelType w:val="multilevel"/>
    <w:tmpl w:val="716CD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F6499E"/>
    <w:multiLevelType w:val="hybridMultilevel"/>
    <w:tmpl w:val="3EFEF662"/>
    <w:lvl w:ilvl="0" w:tplc="04070001">
      <w:start w:val="1"/>
      <w:numFmt w:val="bullet"/>
      <w:lvlText w:val=""/>
      <w:lvlJc w:val="left"/>
      <w:pPr>
        <w:ind w:left="644" w:hanging="360"/>
      </w:pPr>
      <w:rPr>
        <w:rFonts w:ascii="Symbol" w:hAnsi="Symbol" w:hint="default"/>
        <w:b w:val="0"/>
        <w:i w:val="0"/>
        <w:color w:val="ACA53D"/>
        <w:sz w:val="19"/>
        <w:u w:color="D5221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de-DE" w:vendorID="64" w:dllVersion="131078" w:nlCheck="1" w:checkStyle="0"/>
  <w:activeWritingStyle w:appName="MSWord" w:lang="pt-BR" w:vendorID="64" w:dllVersion="131078" w:nlCheck="1" w:checkStyle="0"/>
  <w:defaultTabStop w:val="720"/>
  <w:hyphenationZone w:val="425"/>
  <w:characterSpacingControl w:val="doNotCompress"/>
  <w:hdrShapeDefaults>
    <o:shapedefaults v:ext="edit" spidmax="5120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8BD"/>
    <w:rsid w:val="00005023"/>
    <w:rsid w:val="00016FCB"/>
    <w:rsid w:val="000170FA"/>
    <w:rsid w:val="00045FB2"/>
    <w:rsid w:val="000555D8"/>
    <w:rsid w:val="000641CE"/>
    <w:rsid w:val="000728EF"/>
    <w:rsid w:val="000745C5"/>
    <w:rsid w:val="000A220D"/>
    <w:rsid w:val="000C1041"/>
    <w:rsid w:val="000E3B33"/>
    <w:rsid w:val="00101A4A"/>
    <w:rsid w:val="00106D2E"/>
    <w:rsid w:val="00107A97"/>
    <w:rsid w:val="00107EA9"/>
    <w:rsid w:val="00127901"/>
    <w:rsid w:val="00154F03"/>
    <w:rsid w:val="0016366C"/>
    <w:rsid w:val="00184C0C"/>
    <w:rsid w:val="001904F1"/>
    <w:rsid w:val="00193879"/>
    <w:rsid w:val="001A5394"/>
    <w:rsid w:val="001A5BAE"/>
    <w:rsid w:val="001C10A8"/>
    <w:rsid w:val="001C1C71"/>
    <w:rsid w:val="00201E88"/>
    <w:rsid w:val="002075BD"/>
    <w:rsid w:val="0022281A"/>
    <w:rsid w:val="002312C1"/>
    <w:rsid w:val="00236422"/>
    <w:rsid w:val="00250D99"/>
    <w:rsid w:val="002577DE"/>
    <w:rsid w:val="00270CE1"/>
    <w:rsid w:val="00277562"/>
    <w:rsid w:val="0028593F"/>
    <w:rsid w:val="00306A86"/>
    <w:rsid w:val="003206AE"/>
    <w:rsid w:val="00337318"/>
    <w:rsid w:val="003473D1"/>
    <w:rsid w:val="003475CD"/>
    <w:rsid w:val="00354E49"/>
    <w:rsid w:val="00364AF8"/>
    <w:rsid w:val="00376FBB"/>
    <w:rsid w:val="00387D7C"/>
    <w:rsid w:val="003B0F32"/>
    <w:rsid w:val="003B3BAE"/>
    <w:rsid w:val="003B4F68"/>
    <w:rsid w:val="003B6F92"/>
    <w:rsid w:val="003D00C6"/>
    <w:rsid w:val="003F164A"/>
    <w:rsid w:val="003F430F"/>
    <w:rsid w:val="00403AB2"/>
    <w:rsid w:val="00424515"/>
    <w:rsid w:val="00426275"/>
    <w:rsid w:val="00430285"/>
    <w:rsid w:val="004409CF"/>
    <w:rsid w:val="00441D41"/>
    <w:rsid w:val="00451A60"/>
    <w:rsid w:val="004776E5"/>
    <w:rsid w:val="004D440D"/>
    <w:rsid w:val="004D5BC0"/>
    <w:rsid w:val="004E10ED"/>
    <w:rsid w:val="004F37EC"/>
    <w:rsid w:val="004F7A21"/>
    <w:rsid w:val="005160EE"/>
    <w:rsid w:val="00543D6B"/>
    <w:rsid w:val="00552388"/>
    <w:rsid w:val="00567BFC"/>
    <w:rsid w:val="00567D3C"/>
    <w:rsid w:val="0057093D"/>
    <w:rsid w:val="00595777"/>
    <w:rsid w:val="005D0D43"/>
    <w:rsid w:val="005E21FA"/>
    <w:rsid w:val="005E2F57"/>
    <w:rsid w:val="0060264D"/>
    <w:rsid w:val="00602EAE"/>
    <w:rsid w:val="00610F82"/>
    <w:rsid w:val="00630C12"/>
    <w:rsid w:val="0065673F"/>
    <w:rsid w:val="00660FD7"/>
    <w:rsid w:val="0066580C"/>
    <w:rsid w:val="00677E1C"/>
    <w:rsid w:val="006A78A1"/>
    <w:rsid w:val="006A7DBA"/>
    <w:rsid w:val="006C79F8"/>
    <w:rsid w:val="007349B8"/>
    <w:rsid w:val="00742180"/>
    <w:rsid w:val="00746B17"/>
    <w:rsid w:val="00752DCD"/>
    <w:rsid w:val="00761D6A"/>
    <w:rsid w:val="0078012F"/>
    <w:rsid w:val="00784F23"/>
    <w:rsid w:val="00786936"/>
    <w:rsid w:val="007906E4"/>
    <w:rsid w:val="00790A30"/>
    <w:rsid w:val="00790D39"/>
    <w:rsid w:val="007918A9"/>
    <w:rsid w:val="007A3235"/>
    <w:rsid w:val="007A4898"/>
    <w:rsid w:val="007B5DFA"/>
    <w:rsid w:val="007C30C3"/>
    <w:rsid w:val="007D2BDB"/>
    <w:rsid w:val="007F0B76"/>
    <w:rsid w:val="00803C33"/>
    <w:rsid w:val="0081089B"/>
    <w:rsid w:val="00815256"/>
    <w:rsid w:val="008169AA"/>
    <w:rsid w:val="00832B86"/>
    <w:rsid w:val="00852F49"/>
    <w:rsid w:val="0086434A"/>
    <w:rsid w:val="008734ED"/>
    <w:rsid w:val="008746ED"/>
    <w:rsid w:val="008820FF"/>
    <w:rsid w:val="0089169F"/>
    <w:rsid w:val="008C3CE7"/>
    <w:rsid w:val="008D7477"/>
    <w:rsid w:val="008E503E"/>
    <w:rsid w:val="00903604"/>
    <w:rsid w:val="00907CDE"/>
    <w:rsid w:val="009522B2"/>
    <w:rsid w:val="00965133"/>
    <w:rsid w:val="009B1B4C"/>
    <w:rsid w:val="009E75D8"/>
    <w:rsid w:val="00A1119D"/>
    <w:rsid w:val="00A71DC0"/>
    <w:rsid w:val="00A731B0"/>
    <w:rsid w:val="00A80109"/>
    <w:rsid w:val="00A81C13"/>
    <w:rsid w:val="00A86448"/>
    <w:rsid w:val="00A93BB6"/>
    <w:rsid w:val="00A9570F"/>
    <w:rsid w:val="00A96C2D"/>
    <w:rsid w:val="00AA6D5B"/>
    <w:rsid w:val="00AD0DD5"/>
    <w:rsid w:val="00AD6242"/>
    <w:rsid w:val="00AE440C"/>
    <w:rsid w:val="00AE58AD"/>
    <w:rsid w:val="00AE708B"/>
    <w:rsid w:val="00B20AC8"/>
    <w:rsid w:val="00B537C1"/>
    <w:rsid w:val="00B53C84"/>
    <w:rsid w:val="00B54AF6"/>
    <w:rsid w:val="00B55399"/>
    <w:rsid w:val="00B73D82"/>
    <w:rsid w:val="00B749EC"/>
    <w:rsid w:val="00B77EB2"/>
    <w:rsid w:val="00B86B7F"/>
    <w:rsid w:val="00B86EB9"/>
    <w:rsid w:val="00BB703A"/>
    <w:rsid w:val="00BC6436"/>
    <w:rsid w:val="00BF0386"/>
    <w:rsid w:val="00C32462"/>
    <w:rsid w:val="00C53172"/>
    <w:rsid w:val="00C70AF1"/>
    <w:rsid w:val="00C748E2"/>
    <w:rsid w:val="00C77194"/>
    <w:rsid w:val="00C96A81"/>
    <w:rsid w:val="00CA3999"/>
    <w:rsid w:val="00CA5430"/>
    <w:rsid w:val="00CD4CB8"/>
    <w:rsid w:val="00CD78BD"/>
    <w:rsid w:val="00D01E2B"/>
    <w:rsid w:val="00D452BA"/>
    <w:rsid w:val="00D60475"/>
    <w:rsid w:val="00D64687"/>
    <w:rsid w:val="00D648C1"/>
    <w:rsid w:val="00D82FA5"/>
    <w:rsid w:val="00D878BD"/>
    <w:rsid w:val="00DA141B"/>
    <w:rsid w:val="00DA6550"/>
    <w:rsid w:val="00DD09BD"/>
    <w:rsid w:val="00DF7C28"/>
    <w:rsid w:val="00E04E02"/>
    <w:rsid w:val="00E21BC1"/>
    <w:rsid w:val="00E225A4"/>
    <w:rsid w:val="00E51881"/>
    <w:rsid w:val="00E576A3"/>
    <w:rsid w:val="00E61C32"/>
    <w:rsid w:val="00E63B4E"/>
    <w:rsid w:val="00E847BD"/>
    <w:rsid w:val="00EB4CDA"/>
    <w:rsid w:val="00EC3674"/>
    <w:rsid w:val="00EC4F4F"/>
    <w:rsid w:val="00ED6126"/>
    <w:rsid w:val="00ED6A85"/>
    <w:rsid w:val="00F06B68"/>
    <w:rsid w:val="00F154D9"/>
    <w:rsid w:val="00F21D8D"/>
    <w:rsid w:val="00F271DD"/>
    <w:rsid w:val="00F50FD5"/>
    <w:rsid w:val="00F574E9"/>
    <w:rsid w:val="00F649D6"/>
    <w:rsid w:val="00FC2ED5"/>
    <w:rsid w:val="00FE02F5"/>
    <w:rsid w:val="00FF4FA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fill="f" fillcolor="white" stroke="f">
      <v:fill color="white" on="f"/>
      <v:stroke on="f"/>
    </o:shapedefaults>
    <o:shapelayout v:ext="edit">
      <o:idmap v:ext="edit" data="1"/>
    </o:shapelayout>
  </w:shapeDefaults>
  <w:decimalSymbol w:val=","/>
  <w:listSeparator w:val=";"/>
  <w14:docId w14:val="7D8243CF"/>
  <w15:docId w15:val="{D326AE3C-6E65-484E-A0DF-C0AA0B486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aliases w:val="CHG-Standard"/>
    <w:qFormat/>
    <w:rsid w:val="00B20AC8"/>
    <w:pPr>
      <w:spacing w:line="250" w:lineRule="exact"/>
      <w:jc w:val="both"/>
    </w:pPr>
    <w:rPr>
      <w:rFonts w:ascii="Arial" w:hAnsi="Arial"/>
      <w:sz w:val="19"/>
      <w:szCs w:val="22"/>
      <w:lang w:val="en-US" w:eastAsia="en-US"/>
    </w:rPr>
  </w:style>
  <w:style w:type="paragraph" w:styleId="berschrift1">
    <w:name w:val="heading 1"/>
    <w:aliases w:val="CHG-Überschrift"/>
    <w:basedOn w:val="Standard"/>
    <w:next w:val="Standard"/>
    <w:link w:val="berschrift1Zchn"/>
    <w:uiPriority w:val="9"/>
    <w:qFormat/>
    <w:rsid w:val="00B20AC8"/>
    <w:pPr>
      <w:keepNext/>
      <w:outlineLvl w:val="0"/>
    </w:pPr>
    <w:rPr>
      <w:rFonts w:eastAsia="Times New Roman"/>
      <w:b/>
      <w:bCs/>
      <w:color w:val="6F6F6E"/>
      <w:kern w:val="32"/>
      <w:szCs w:val="32"/>
    </w:rPr>
  </w:style>
  <w:style w:type="paragraph" w:styleId="berschrift2">
    <w:name w:val="heading 2"/>
    <w:aliases w:val="CHG-Titel"/>
    <w:basedOn w:val="Standard"/>
    <w:next w:val="Standard"/>
    <w:link w:val="berschrift2Zchn"/>
    <w:uiPriority w:val="9"/>
    <w:unhideWhenUsed/>
    <w:qFormat/>
    <w:rsid w:val="00B20AC8"/>
    <w:pPr>
      <w:keepNext/>
      <w:spacing w:line="240" w:lineRule="auto"/>
      <w:outlineLvl w:val="1"/>
    </w:pPr>
    <w:rPr>
      <w:rFonts w:eastAsia="Times New Roman"/>
      <w:b/>
      <w:bCs/>
      <w:iCs/>
      <w:color w:val="6F6F6E"/>
      <w:sz w:val="5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3879"/>
    <w:pPr>
      <w:tabs>
        <w:tab w:val="center" w:pos="4536"/>
        <w:tab w:val="right" w:pos="9072"/>
      </w:tabs>
    </w:pPr>
  </w:style>
  <w:style w:type="character" w:customStyle="1" w:styleId="KopfzeileZchn">
    <w:name w:val="Kopfzeile Zchn"/>
    <w:link w:val="Kopfzeile"/>
    <w:uiPriority w:val="99"/>
    <w:rsid w:val="00193879"/>
    <w:rPr>
      <w:sz w:val="22"/>
      <w:szCs w:val="22"/>
    </w:rPr>
  </w:style>
  <w:style w:type="paragraph" w:styleId="Fuzeile">
    <w:name w:val="footer"/>
    <w:basedOn w:val="Standard"/>
    <w:link w:val="FuzeileZchn"/>
    <w:uiPriority w:val="99"/>
    <w:unhideWhenUsed/>
    <w:rsid w:val="00193879"/>
    <w:pPr>
      <w:tabs>
        <w:tab w:val="center" w:pos="4536"/>
        <w:tab w:val="right" w:pos="9072"/>
      </w:tabs>
    </w:pPr>
  </w:style>
  <w:style w:type="character" w:customStyle="1" w:styleId="FuzeileZchn">
    <w:name w:val="Fußzeile Zchn"/>
    <w:link w:val="Fuzeile"/>
    <w:uiPriority w:val="99"/>
    <w:rsid w:val="00193879"/>
    <w:rPr>
      <w:sz w:val="22"/>
      <w:szCs w:val="22"/>
    </w:rPr>
  </w:style>
  <w:style w:type="character" w:styleId="Hyperlink">
    <w:name w:val="Hyperlink"/>
    <w:uiPriority w:val="99"/>
    <w:unhideWhenUsed/>
    <w:rsid w:val="00DA141B"/>
    <w:rPr>
      <w:color w:val="0000FF"/>
      <w:u w:val="single"/>
    </w:rPr>
  </w:style>
  <w:style w:type="paragraph" w:styleId="Sprechblasentext">
    <w:name w:val="Balloon Text"/>
    <w:basedOn w:val="Standard"/>
    <w:link w:val="SprechblasentextZchn"/>
    <w:uiPriority w:val="99"/>
    <w:semiHidden/>
    <w:unhideWhenUsed/>
    <w:rsid w:val="007B5DF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B5DFA"/>
    <w:rPr>
      <w:rFonts w:ascii="Tahoma" w:hAnsi="Tahoma" w:cs="Tahoma"/>
      <w:sz w:val="16"/>
      <w:szCs w:val="16"/>
    </w:rPr>
  </w:style>
  <w:style w:type="paragraph" w:customStyle="1" w:styleId="EinfAbs">
    <w:name w:val="[Einf. Abs.]"/>
    <w:basedOn w:val="Standard"/>
    <w:uiPriority w:val="99"/>
    <w:rsid w:val="00005023"/>
    <w:pPr>
      <w:autoSpaceDE w:val="0"/>
      <w:autoSpaceDN w:val="0"/>
      <w:spacing w:line="288" w:lineRule="auto"/>
    </w:pPr>
    <w:rPr>
      <w:rFonts w:ascii="Minion Pro" w:hAnsi="Minion Pro"/>
      <w:color w:val="000000"/>
      <w:sz w:val="24"/>
      <w:szCs w:val="24"/>
    </w:rPr>
  </w:style>
  <w:style w:type="paragraph" w:styleId="Textkrper2">
    <w:name w:val="Body Text 2"/>
    <w:basedOn w:val="Standard"/>
    <w:link w:val="Textkrper2Zchn"/>
    <w:semiHidden/>
    <w:rsid w:val="006A7DBA"/>
    <w:pPr>
      <w:spacing w:line="240" w:lineRule="auto"/>
    </w:pPr>
    <w:rPr>
      <w:rFonts w:eastAsia="Times New Roman"/>
      <w:szCs w:val="20"/>
      <w:lang w:val="de-DE" w:eastAsia="de-DE"/>
    </w:rPr>
  </w:style>
  <w:style w:type="character" w:customStyle="1" w:styleId="Textkrper2Zchn">
    <w:name w:val="Textkörper 2 Zchn"/>
    <w:link w:val="Textkrper2"/>
    <w:semiHidden/>
    <w:rsid w:val="006A7DBA"/>
    <w:rPr>
      <w:rFonts w:ascii="Arial" w:eastAsia="Times New Roman" w:hAnsi="Arial"/>
      <w:sz w:val="22"/>
      <w:lang w:val="de-DE" w:eastAsia="de-DE"/>
    </w:rPr>
  </w:style>
  <w:style w:type="paragraph" w:styleId="KeinLeerraum">
    <w:name w:val="No Spacing"/>
    <w:aliases w:val="CHG-Agreement"/>
    <w:uiPriority w:val="1"/>
    <w:qFormat/>
    <w:rsid w:val="00B20AC8"/>
    <w:pPr>
      <w:spacing w:line="200" w:lineRule="exact"/>
      <w:jc w:val="both"/>
    </w:pPr>
    <w:rPr>
      <w:rFonts w:ascii="Arial" w:hAnsi="Arial"/>
      <w:sz w:val="14"/>
      <w:szCs w:val="22"/>
      <w:lang w:val="en-US" w:eastAsia="en-US"/>
    </w:rPr>
  </w:style>
  <w:style w:type="character" w:customStyle="1" w:styleId="berschrift1Zchn">
    <w:name w:val="Überschrift 1 Zchn"/>
    <w:aliases w:val="CHG-Überschrift Zchn"/>
    <w:link w:val="berschrift1"/>
    <w:uiPriority w:val="9"/>
    <w:rsid w:val="00B20AC8"/>
    <w:rPr>
      <w:rFonts w:ascii="Arial" w:eastAsia="Times New Roman" w:hAnsi="Arial" w:cs="Times New Roman"/>
      <w:b/>
      <w:bCs/>
      <w:color w:val="6F6F6E"/>
      <w:kern w:val="32"/>
      <w:sz w:val="19"/>
      <w:szCs w:val="32"/>
    </w:rPr>
  </w:style>
  <w:style w:type="character" w:customStyle="1" w:styleId="berschrift2Zchn">
    <w:name w:val="Überschrift 2 Zchn"/>
    <w:aliases w:val="CHG-Titel Zchn"/>
    <w:link w:val="berschrift2"/>
    <w:uiPriority w:val="9"/>
    <w:rsid w:val="00B20AC8"/>
    <w:rPr>
      <w:rFonts w:ascii="Arial" w:eastAsia="Times New Roman" w:hAnsi="Arial" w:cs="Times New Roman"/>
      <w:b/>
      <w:bCs/>
      <w:iCs/>
      <w:color w:val="6F6F6E"/>
      <w:sz w:val="56"/>
      <w:szCs w:val="28"/>
    </w:rPr>
  </w:style>
  <w:style w:type="paragraph" w:customStyle="1" w:styleId="Ebene1CHG-berschrift">
    <w:name w:val="Ebene 1 CHG-Überschrift"/>
    <w:basedOn w:val="berschrift1"/>
    <w:link w:val="Ebene1CHG-berschriftZchn"/>
    <w:qFormat/>
    <w:rsid w:val="00D60475"/>
    <w:pPr>
      <w:numPr>
        <w:numId w:val="1"/>
      </w:numPr>
      <w:spacing w:before="240" w:after="240"/>
    </w:pPr>
    <w:rPr>
      <w:color w:val="7A716F"/>
      <w:sz w:val="22"/>
      <w:szCs w:val="22"/>
      <w:lang w:val="de-DE"/>
    </w:rPr>
  </w:style>
  <w:style w:type="paragraph" w:customStyle="1" w:styleId="Ebene2CHG-berschrift">
    <w:name w:val="Ebene 2 CHG-Überschrift"/>
    <w:basedOn w:val="Ebene1CHG-berschrift"/>
    <w:qFormat/>
    <w:rsid w:val="00D60475"/>
    <w:pPr>
      <w:numPr>
        <w:ilvl w:val="1"/>
      </w:numPr>
      <w:tabs>
        <w:tab w:val="num" w:pos="360"/>
      </w:tabs>
    </w:pPr>
    <w:rPr>
      <w:sz w:val="19"/>
      <w:szCs w:val="19"/>
    </w:rPr>
  </w:style>
  <w:style w:type="character" w:customStyle="1" w:styleId="Ebene1CHG-berschriftZchn">
    <w:name w:val="Ebene 1 CHG-Überschrift Zchn"/>
    <w:link w:val="Ebene1CHG-berschrift"/>
    <w:rsid w:val="00D60475"/>
    <w:rPr>
      <w:rFonts w:ascii="Arial" w:eastAsia="Times New Roman" w:hAnsi="Arial"/>
      <w:b/>
      <w:bCs/>
      <w:color w:val="7A716F"/>
      <w:kern w:val="32"/>
      <w:sz w:val="22"/>
      <w:szCs w:val="22"/>
      <w:lang w:eastAsia="en-US"/>
    </w:rPr>
  </w:style>
  <w:style w:type="paragraph" w:customStyle="1" w:styleId="Ebene3CHG-berschrift">
    <w:name w:val="Ebene 3 CHG-Überschrift"/>
    <w:basedOn w:val="Ebene2CHG-berschrift"/>
    <w:qFormat/>
    <w:rsid w:val="00D60475"/>
    <w:pPr>
      <w:numPr>
        <w:ilvl w:val="2"/>
      </w:numPr>
      <w:tabs>
        <w:tab w:val="num" w:pos="360"/>
      </w:tabs>
    </w:pPr>
  </w:style>
  <w:style w:type="paragraph" w:customStyle="1" w:styleId="Ebene4CHG-berschrift">
    <w:name w:val="Ebene 4 CHG-Überschrift"/>
    <w:basedOn w:val="Ebene3CHG-berschrift"/>
    <w:qFormat/>
    <w:rsid w:val="00D60475"/>
    <w:pPr>
      <w:numPr>
        <w:ilvl w:val="3"/>
      </w:numPr>
      <w:tabs>
        <w:tab w:val="num" w:pos="360"/>
      </w:tabs>
    </w:pPr>
  </w:style>
  <w:style w:type="paragraph" w:customStyle="1" w:styleId="Ebene5CHG-berschrift">
    <w:name w:val="Ebene 5 CHG-Überschrift"/>
    <w:basedOn w:val="Ebene4CHG-berschrift"/>
    <w:qFormat/>
    <w:rsid w:val="00D60475"/>
    <w:pPr>
      <w:numPr>
        <w:ilvl w:val="4"/>
      </w:numPr>
      <w:tabs>
        <w:tab w:val="num" w:pos="360"/>
      </w:tabs>
    </w:pPr>
  </w:style>
  <w:style w:type="paragraph" w:customStyle="1" w:styleId="Ebene6CHG-berschrift">
    <w:name w:val="Ebene 6 CHG-Überschrift"/>
    <w:basedOn w:val="Ebene5CHG-berschrift"/>
    <w:qFormat/>
    <w:rsid w:val="00D60475"/>
    <w:pPr>
      <w:numPr>
        <w:ilvl w:val="5"/>
      </w:numPr>
      <w:tabs>
        <w:tab w:val="num" w:pos="360"/>
      </w:tabs>
    </w:pPr>
  </w:style>
  <w:style w:type="paragraph" w:customStyle="1" w:styleId="AufzhlungspunkteCHG-MERIDIAN">
    <w:name w:val="Aufzählungspunkte CHG-MERIDIAN"/>
    <w:basedOn w:val="Standard"/>
    <w:link w:val="AufzhlungspunkteCHG-MERIDIANZchn"/>
    <w:qFormat/>
    <w:rsid w:val="00D60475"/>
    <w:pPr>
      <w:numPr>
        <w:numId w:val="3"/>
      </w:numPr>
      <w:jc w:val="left"/>
    </w:pPr>
    <w:rPr>
      <w:lang w:val="de-DE"/>
    </w:rPr>
  </w:style>
  <w:style w:type="character" w:customStyle="1" w:styleId="AufzhlungspunkteCHG-MERIDIANZchn">
    <w:name w:val="Aufzählungspunkte CHG-MERIDIAN Zchn"/>
    <w:link w:val="AufzhlungspunkteCHG-MERIDIAN"/>
    <w:rsid w:val="00D60475"/>
    <w:rPr>
      <w:rFonts w:ascii="Arial" w:hAnsi="Arial"/>
      <w:sz w:val="19"/>
      <w:szCs w:val="22"/>
      <w:lang w:eastAsia="en-US"/>
    </w:rPr>
  </w:style>
  <w:style w:type="paragraph" w:customStyle="1" w:styleId="CHG-Abbildung">
    <w:name w:val="CHG-Abbildung"/>
    <w:basedOn w:val="Standard"/>
    <w:link w:val="CHG-AbbildungZchn"/>
    <w:qFormat/>
    <w:rsid w:val="00D60475"/>
    <w:pPr>
      <w:jc w:val="center"/>
    </w:pPr>
    <w:rPr>
      <w:b/>
      <w:color w:val="A39D9B"/>
      <w:lang w:val="de-DE"/>
    </w:rPr>
  </w:style>
  <w:style w:type="character" w:customStyle="1" w:styleId="CHG-AbbildungZchn">
    <w:name w:val="CHG-Abbildung Zchn"/>
    <w:basedOn w:val="Absatz-Standardschriftart"/>
    <w:link w:val="CHG-Abbildung"/>
    <w:rsid w:val="00D60475"/>
    <w:rPr>
      <w:rFonts w:ascii="Arial" w:hAnsi="Arial"/>
      <w:b/>
      <w:color w:val="A39D9B"/>
      <w:sz w:val="19"/>
      <w:szCs w:val="22"/>
      <w:lang w:eastAsia="en-US"/>
    </w:rPr>
  </w:style>
  <w:style w:type="paragraph" w:customStyle="1" w:styleId="CHG-Unterberschrift">
    <w:name w:val="CHG-Unterüberschrift"/>
    <w:basedOn w:val="Standard"/>
    <w:link w:val="CHG-UnterberschriftZchn"/>
    <w:qFormat/>
    <w:rsid w:val="00D60475"/>
    <w:pPr>
      <w:keepNext/>
      <w:spacing w:before="240" w:after="240"/>
      <w:outlineLvl w:val="0"/>
    </w:pPr>
    <w:rPr>
      <w:rFonts w:eastAsia="Times New Roman"/>
      <w:b/>
      <w:bCs/>
      <w:noProof/>
      <w:color w:val="7A716F"/>
      <w:kern w:val="32"/>
      <w:szCs w:val="32"/>
      <w:lang w:val="de-DE" w:eastAsia="de-DE"/>
    </w:rPr>
  </w:style>
  <w:style w:type="character" w:customStyle="1" w:styleId="CHG-UnterberschriftZchn">
    <w:name w:val="CHG-Unterüberschrift Zchn"/>
    <w:basedOn w:val="Absatz-Standardschriftart"/>
    <w:link w:val="CHG-Unterberschrift"/>
    <w:rsid w:val="00D60475"/>
    <w:rPr>
      <w:rFonts w:ascii="Arial" w:eastAsia="Times New Roman" w:hAnsi="Arial"/>
      <w:b/>
      <w:bCs/>
      <w:noProof/>
      <w:color w:val="7A716F"/>
      <w:kern w:val="32"/>
      <w:sz w:val="19"/>
      <w:szCs w:val="32"/>
    </w:rPr>
  </w:style>
  <w:style w:type="paragraph" w:styleId="Listenabsatz">
    <w:name w:val="List Paragraph"/>
    <w:basedOn w:val="Standard"/>
    <w:uiPriority w:val="34"/>
    <w:rsid w:val="00B86B7F"/>
    <w:pPr>
      <w:ind w:left="720"/>
      <w:contextualSpacing/>
    </w:pPr>
  </w:style>
  <w:style w:type="paragraph" w:customStyle="1" w:styleId="SchlagzeilePressemitteilung">
    <w:name w:val="Schlagzeile Pressemitteilung"/>
    <w:basedOn w:val="Standard"/>
    <w:link w:val="SchlagzeilePressemitteilungZchn"/>
    <w:qFormat/>
    <w:rsid w:val="00F649D6"/>
    <w:pPr>
      <w:framePr w:w="7813" w:h="420" w:wrap="around" w:vAnchor="page" w:hAnchor="page" w:x="1186" w:y="3006" w:anchorLock="1"/>
      <w:spacing w:line="360" w:lineRule="auto"/>
      <w:jc w:val="left"/>
    </w:pPr>
    <w:rPr>
      <w:b/>
      <w:color w:val="6F6F6E"/>
      <w:sz w:val="30"/>
      <w:szCs w:val="30"/>
      <w:lang w:val="de-DE"/>
    </w:rPr>
  </w:style>
  <w:style w:type="character" w:customStyle="1" w:styleId="SchlagzeilePressemitteilungZchn">
    <w:name w:val="Schlagzeile Pressemitteilung Zchn"/>
    <w:link w:val="SchlagzeilePressemitteilung"/>
    <w:rsid w:val="00F649D6"/>
    <w:rPr>
      <w:rFonts w:ascii="Arial" w:hAnsi="Arial"/>
      <w:b/>
      <w:color w:val="6F6F6E"/>
      <w:sz w:val="30"/>
      <w:szCs w:val="30"/>
      <w:lang w:eastAsia="en-US"/>
    </w:rPr>
  </w:style>
  <w:style w:type="paragraph" w:styleId="StandardWeb">
    <w:name w:val="Normal (Web)"/>
    <w:basedOn w:val="Standard"/>
    <w:uiPriority w:val="99"/>
    <w:semiHidden/>
    <w:unhideWhenUsed/>
    <w:rsid w:val="00E576A3"/>
    <w:pPr>
      <w:spacing w:before="100" w:beforeAutospacing="1" w:after="100" w:afterAutospacing="1" w:line="240" w:lineRule="auto"/>
      <w:jc w:val="left"/>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89456">
      <w:bodyDiv w:val="1"/>
      <w:marLeft w:val="0"/>
      <w:marRight w:val="0"/>
      <w:marTop w:val="0"/>
      <w:marBottom w:val="0"/>
      <w:divBdr>
        <w:top w:val="none" w:sz="0" w:space="0" w:color="auto"/>
        <w:left w:val="none" w:sz="0" w:space="0" w:color="auto"/>
        <w:bottom w:val="none" w:sz="0" w:space="0" w:color="auto"/>
        <w:right w:val="none" w:sz="0" w:space="0" w:color="auto"/>
      </w:divBdr>
    </w:div>
    <w:div w:id="820393178">
      <w:bodyDiv w:val="1"/>
      <w:marLeft w:val="0"/>
      <w:marRight w:val="0"/>
      <w:marTop w:val="0"/>
      <w:marBottom w:val="0"/>
      <w:divBdr>
        <w:top w:val="none" w:sz="0" w:space="0" w:color="auto"/>
        <w:left w:val="none" w:sz="0" w:space="0" w:color="auto"/>
        <w:bottom w:val="none" w:sz="0" w:space="0" w:color="auto"/>
        <w:right w:val="none" w:sz="0" w:space="0" w:color="auto"/>
      </w:divBdr>
    </w:div>
    <w:div w:id="991523839">
      <w:bodyDiv w:val="1"/>
      <w:marLeft w:val="0"/>
      <w:marRight w:val="0"/>
      <w:marTop w:val="0"/>
      <w:marBottom w:val="0"/>
      <w:divBdr>
        <w:top w:val="none" w:sz="0" w:space="0" w:color="auto"/>
        <w:left w:val="none" w:sz="0" w:space="0" w:color="auto"/>
        <w:bottom w:val="none" w:sz="0" w:space="0" w:color="auto"/>
        <w:right w:val="none" w:sz="0" w:space="0" w:color="auto"/>
      </w:divBdr>
    </w:div>
    <w:div w:id="168932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v246\profiles$\dru\Desktop\www.chg-meridian.com%20%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matthias.steybe@chg-" TargetMode="External"/></Relationships>
</file>

<file path=word/theme/theme1.xml><?xml version="1.0" encoding="utf-8"?>
<a:theme xmlns:a="http://schemas.openxmlformats.org/drawingml/2006/main" name="CHG-MERIDIAN Design">
  <a:themeElements>
    <a:clrScheme name="CHG-MERIDIAN Colors">
      <a:dk1>
        <a:srgbClr val="7A716F"/>
      </a:dk1>
      <a:lt1>
        <a:srgbClr val="D6D1C0"/>
      </a:lt1>
      <a:dk2>
        <a:srgbClr val="A39D9B"/>
      </a:dk2>
      <a:lt2>
        <a:srgbClr val="ADB0B3"/>
      </a:lt2>
      <a:accent1>
        <a:srgbClr val="7B868F"/>
      </a:accent1>
      <a:accent2>
        <a:srgbClr val="ACA53D"/>
      </a:accent2>
      <a:accent3>
        <a:srgbClr val="6966A8"/>
      </a:accent3>
      <a:accent4>
        <a:srgbClr val="2A468E"/>
      </a:accent4>
      <a:accent5>
        <a:srgbClr val="D52B1E"/>
      </a:accent5>
      <a:accent6>
        <a:srgbClr val="000000"/>
      </a:accent6>
      <a:hlink>
        <a:srgbClr val="2A468E"/>
      </a:hlink>
      <a:folHlink>
        <a:srgbClr val="000000"/>
      </a:folHlink>
    </a:clrScheme>
    <a:fontScheme name="CHG-MERIDIAN Schriftart">
      <a:majorFont>
        <a:latin typeface="Arial"/>
        <a:ea typeface=""/>
        <a:cs typeface=""/>
      </a:majorFont>
      <a:minorFont>
        <a:latin typeface="Arial"/>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11E9A-D710-49EE-A28F-42D6994A1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5B795EF</Template>
  <TotalTime>0</TotalTime>
  <Pages>3</Pages>
  <Words>1027</Words>
  <Characters>6473</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CHG-MERIDIAN</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Raimund Haser</dc:creator>
  <cp:lastModifiedBy>Steybe, Matthias</cp:lastModifiedBy>
  <cp:revision>45</cp:revision>
  <cp:lastPrinted>2017-02-09T16:11:00Z</cp:lastPrinted>
  <dcterms:created xsi:type="dcterms:W3CDTF">2013-11-07T21:21:00Z</dcterms:created>
  <dcterms:modified xsi:type="dcterms:W3CDTF">2017-02-09T16:11:00Z</dcterms:modified>
</cp:coreProperties>
</file>